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75" w:rsidRDefault="008E3475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-156210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4C" w:rsidRPr="00E56831" w:rsidRDefault="00195B59" w:rsidP="00687B8E">
      <w:pPr>
        <w:tabs>
          <w:tab w:val="center" w:pos="6502"/>
          <w:tab w:val="left" w:pos="11434"/>
        </w:tabs>
        <w:rPr>
          <w:b/>
          <w:sz w:val="4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  <w:r w:rsidR="00687B8E"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56831" w:rsidP="00EE1430">
            <w:pPr>
              <w:jc w:val="both"/>
            </w:pPr>
            <w:r>
              <w:t>30 COLONIAS CON ALTOS ÍNDICES DE DELITOS PATRIMONIALES</w:t>
            </w:r>
          </w:p>
          <w:p w:rsidR="00AB1D63" w:rsidRDefault="00AB1D63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B1D63" w:rsidRPr="00205637" w:rsidRDefault="00AB1D63" w:rsidP="00AB1D63">
            <w:r w:rsidRPr="00205637">
              <w:t>Dirección Técnica y de Planeación Estratégica</w:t>
            </w:r>
          </w:p>
          <w:p w:rsidR="00A00F82" w:rsidRDefault="00A00F82" w:rsidP="00EE1430">
            <w:pPr>
              <w:jc w:val="both"/>
            </w:pPr>
          </w:p>
          <w:p w:rsidR="00FA5E7E" w:rsidRDefault="00FA5E7E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E56831" w:rsidP="00E56831">
            <w:pPr>
              <w:jc w:val="both"/>
            </w:pPr>
            <w:r>
              <w:t>Selecci</w:t>
            </w:r>
            <w:r w:rsidR="00544338">
              <w:t>onamos 30 colonias que tienen má</w:t>
            </w:r>
            <w:r>
              <w:t xml:space="preserve">s denuncias o llamados por delitos patrimoniales y que contribuyen a la percepción de inseguridad en la población de ellas.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AB1D63" w:rsidRDefault="00E56831" w:rsidP="00E56831">
            <w:pPr>
              <w:jc w:val="both"/>
            </w:pPr>
            <w:r>
              <w:t xml:space="preserve">Zona Centro de Tlaquepaque, Colonial Tlaquepaque, Fraccionamiento Revolución, Las Huertas, Santa Ma. </w:t>
            </w:r>
            <w:proofErr w:type="spellStart"/>
            <w:r>
              <w:t>Tequepexpan</w:t>
            </w:r>
            <w:proofErr w:type="spellEnd"/>
            <w:r>
              <w:t xml:space="preserve">, </w:t>
            </w:r>
            <w:r w:rsidR="002875AE">
              <w:t xml:space="preserve">Santa Anita, San Pedrito, Cerro del Tesoro, Parques de Santa María, El Álamo, Balcones de Santa María, San </w:t>
            </w:r>
            <w:proofErr w:type="spellStart"/>
            <w:r w:rsidR="002875AE">
              <w:t>Sebastianito</w:t>
            </w:r>
            <w:proofErr w:type="spellEnd"/>
            <w:r w:rsidR="002875AE">
              <w:t xml:space="preserve">, El Vergel, Parques del Bosque, Parques de la Victoria, El </w:t>
            </w:r>
            <w:proofErr w:type="spellStart"/>
            <w:r w:rsidR="002875AE">
              <w:t>Saúz</w:t>
            </w:r>
            <w:proofErr w:type="spellEnd"/>
            <w:r w:rsidR="002875AE">
              <w:t xml:space="preserve">, Haciendas de San José, Loma Bonita Ejidal, Los Olivos, </w:t>
            </w:r>
            <w:r>
              <w:t>Nueva Santa Ma</w:t>
            </w:r>
            <w:r w:rsidR="002875AE">
              <w:t xml:space="preserve">ría, Cofradía, Buenos Aires, Francisco I. Madero, Artesanos, Las Juntas, San Martín de las Flores, La Ladrillera, Guayabitos, </w:t>
            </w:r>
            <w:proofErr w:type="spellStart"/>
            <w:r>
              <w:t>Miravalle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AB1D63" w:rsidRPr="00205637" w:rsidRDefault="00DE50F9" w:rsidP="00AB1D63">
            <w:pPr>
              <w:jc w:val="center"/>
            </w:pPr>
            <w:r>
              <w:t>Lic. María de la Luz Duarte Avalos</w:t>
            </w:r>
          </w:p>
          <w:p w:rsidR="00AB1D63" w:rsidRPr="00205637" w:rsidRDefault="00AB1D63" w:rsidP="00AB1D63">
            <w:pPr>
              <w:jc w:val="center"/>
            </w:pPr>
            <w:r w:rsidRPr="00205637">
              <w:t>Tel: 33-45-59-25</w:t>
            </w:r>
          </w:p>
          <w:p w:rsidR="00AB1D63" w:rsidRPr="00205637" w:rsidRDefault="00AB1D63" w:rsidP="00AB1D63">
            <w:pPr>
              <w:jc w:val="center"/>
            </w:pPr>
            <w:r w:rsidRPr="00205637">
              <w:t xml:space="preserve">Correo Electrónico : </w:t>
            </w:r>
            <w:hyperlink r:id="rId8" w:history="1">
              <w:r w:rsidR="000D27C8" w:rsidRPr="009D0FC4">
                <w:rPr>
                  <w:rStyle w:val="Hipervnculo"/>
                </w:rPr>
                <w:t>maria.duarte@tlaquepaque.gob.mx</w:t>
              </w:r>
            </w:hyperlink>
          </w:p>
          <w:p w:rsidR="00121462" w:rsidRDefault="00121462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55BA4" w:rsidRPr="00532195" w:rsidRDefault="002875AE" w:rsidP="00AB1D63">
            <w:r w:rsidRPr="00532195">
              <w:t>Modificar la percepción de inseguridad de la población.</w:t>
            </w:r>
          </w:p>
          <w:p w:rsidR="00121462" w:rsidRDefault="002875AE" w:rsidP="00EE1430">
            <w:pPr>
              <w:jc w:val="both"/>
            </w:pPr>
            <w:r w:rsidRPr="00532195">
              <w:t>Que el policía realice proximidad social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532195" w:rsidP="00532195">
            <w:r>
              <w:t xml:space="preserve">Población del municipio de San Pedro Tlaquepaque y visitantes nacionales y extranjeros.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32195" w:rsidP="00EE1430">
            <w:pPr>
              <w:jc w:val="center"/>
            </w:pPr>
            <w:r>
              <w:t>23 de Octubre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E1430" w:rsidP="00EE1430">
            <w:pPr>
              <w:jc w:val="center"/>
            </w:pPr>
            <w:r>
              <w:t xml:space="preserve">31 de </w:t>
            </w:r>
            <w:r w:rsidR="00D832EE">
              <w:t>Diciembre del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B1D63" w:rsidP="00EE143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  <w:bookmarkStart w:id="0" w:name="_GoBack"/>
      <w:bookmarkEnd w:id="0"/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769"/>
        <w:gridCol w:w="807"/>
        <w:gridCol w:w="761"/>
        <w:gridCol w:w="326"/>
        <w:gridCol w:w="325"/>
        <w:gridCol w:w="823"/>
        <w:gridCol w:w="320"/>
        <w:gridCol w:w="319"/>
        <w:gridCol w:w="802"/>
        <w:gridCol w:w="722"/>
        <w:gridCol w:w="826"/>
        <w:gridCol w:w="753"/>
        <w:gridCol w:w="828"/>
        <w:gridCol w:w="896"/>
        <w:gridCol w:w="729"/>
      </w:tblGrid>
      <w:tr w:rsidR="000473B9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5461F3" w:rsidRDefault="00544338" w:rsidP="00120308">
            <w:pPr>
              <w:jc w:val="both"/>
            </w:pPr>
            <w:r>
              <w:t>Visitas al lugar en puntos estratégicos de cada colonia, por parte de personal operativo uniformado, realizando tareas de proximidad</w:t>
            </w:r>
          </w:p>
        </w:tc>
      </w:tr>
      <w:tr w:rsidR="00A5734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A57343" w:rsidRDefault="00544338" w:rsidP="00DD5358">
            <w:pPr>
              <w:jc w:val="both"/>
            </w:pPr>
            <w:r>
              <w:t>Mejora en la percepción de inseguridad, disminución por persuasión en delitos patrimoniales</w:t>
            </w:r>
          </w:p>
        </w:tc>
      </w:tr>
      <w:tr w:rsidR="005461F3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5461F3" w:rsidRDefault="005461F3" w:rsidP="00DD5358">
            <w:pPr>
              <w:jc w:val="both"/>
            </w:pPr>
          </w:p>
        </w:tc>
      </w:tr>
      <w:tr w:rsidR="0003322C" w:rsidTr="000D0701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03322C" w:rsidRDefault="0003322C" w:rsidP="00DD5358">
            <w:pPr>
              <w:jc w:val="both"/>
            </w:pPr>
          </w:p>
        </w:tc>
      </w:tr>
      <w:tr w:rsidR="0003322C" w:rsidTr="000D0701">
        <w:tc>
          <w:tcPr>
            <w:tcW w:w="1494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1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7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1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D0701">
        <w:tc>
          <w:tcPr>
            <w:tcW w:w="1494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19" w:type="pct"/>
            <w:gridSpan w:val="3"/>
            <w:shd w:val="clear" w:color="auto" w:fill="auto"/>
          </w:tcPr>
          <w:p w:rsidR="0003322C" w:rsidRDefault="00544338" w:rsidP="00DD5358">
            <w:r>
              <w:t>2</w:t>
            </w:r>
            <w:r w:rsidR="007A6B74">
              <w:t>0%</w:t>
            </w:r>
          </w:p>
        </w:tc>
        <w:tc>
          <w:tcPr>
            <w:tcW w:w="1571" w:type="pct"/>
            <w:gridSpan w:val="7"/>
            <w:shd w:val="clear" w:color="auto" w:fill="auto"/>
          </w:tcPr>
          <w:p w:rsidR="0003322C" w:rsidRDefault="00544338" w:rsidP="00DD5358">
            <w:r>
              <w:t>5</w:t>
            </w:r>
            <w:r w:rsidR="007A6B74">
              <w:t>0%</w:t>
            </w:r>
          </w:p>
        </w:tc>
        <w:tc>
          <w:tcPr>
            <w:tcW w:w="1216" w:type="pct"/>
            <w:gridSpan w:val="4"/>
            <w:shd w:val="clear" w:color="auto" w:fill="auto"/>
          </w:tcPr>
          <w:p w:rsidR="0003322C" w:rsidRDefault="0003322C" w:rsidP="00DD5358"/>
        </w:tc>
      </w:tr>
      <w:tr w:rsidR="000D0701" w:rsidTr="000D0701">
        <w:tc>
          <w:tcPr>
            <w:tcW w:w="1494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78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27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0D0701">
        <w:tc>
          <w:tcPr>
            <w:tcW w:w="1494" w:type="pct"/>
            <w:shd w:val="clear" w:color="auto" w:fill="auto"/>
          </w:tcPr>
          <w:p w:rsidR="000D0701" w:rsidRDefault="000D0701" w:rsidP="00DD5358">
            <w:pPr>
              <w:jc w:val="center"/>
            </w:pPr>
          </w:p>
          <w:p w:rsidR="000D0701" w:rsidRDefault="00544338" w:rsidP="005868EB">
            <w:pPr>
              <w:jc w:val="center"/>
            </w:pPr>
            <w:r>
              <w:t>0</w:t>
            </w:r>
            <w:r w:rsidR="007A6B74">
              <w:t>%</w:t>
            </w:r>
          </w:p>
        </w:tc>
        <w:tc>
          <w:tcPr>
            <w:tcW w:w="1278" w:type="pct"/>
            <w:gridSpan w:val="6"/>
            <w:shd w:val="clear" w:color="auto" w:fill="auto"/>
          </w:tcPr>
          <w:p w:rsidR="007A6B74" w:rsidRDefault="00EC7AEF" w:rsidP="0090469D">
            <w:pPr>
              <w:jc w:val="center"/>
            </w:pPr>
            <w:r>
              <w:t>Modifi</w:t>
            </w:r>
            <w:r w:rsidR="00544338">
              <w:t>c</w:t>
            </w:r>
            <w:r>
              <w:t>ac</w:t>
            </w:r>
            <w:r w:rsidR="00544338">
              <w:t>iones en la percepción de inseguridad, persuasión para delinquir</w:t>
            </w:r>
          </w:p>
        </w:tc>
        <w:tc>
          <w:tcPr>
            <w:tcW w:w="2227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0D0701">
        <w:tc>
          <w:tcPr>
            <w:tcW w:w="2773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27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EC7AEF" w:rsidP="005868EB">
            <w:pPr>
              <w:jc w:val="both"/>
              <w:rPr>
                <w:sz w:val="20"/>
              </w:rPr>
            </w:pPr>
            <w:r>
              <w:rPr>
                <w:sz w:val="20"/>
              </w:rPr>
              <w:t>Revisión de índices de criminalidad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Selección de Colonias a trabajar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Formulación de Plan de trabajo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Ejecución del proyecto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Evaluación de resultados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C7AE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</w:tbl>
    <w:p w:rsidR="00220D06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A74FAF" w:rsidRDefault="00A74FAF">
      <w:pPr>
        <w:rPr>
          <w:i/>
          <w:sz w:val="16"/>
        </w:rPr>
      </w:pPr>
      <w:r>
        <w:rPr>
          <w:i/>
          <w:sz w:val="16"/>
        </w:rPr>
        <w:lastRenderedPageBreak/>
        <w:br w:type="page"/>
      </w:r>
    </w:p>
    <w:p w:rsidR="00A74FAF" w:rsidRDefault="00A74FAF" w:rsidP="00A74FAF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FAF" w:rsidRDefault="00A74FAF" w:rsidP="00A74FAF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A74FAF" w:rsidRPr="0068316A" w:rsidRDefault="00A74FAF" w:rsidP="00A74FAF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74FAF" w:rsidRDefault="008E3475" w:rsidP="00AB1D6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MANUALES DE PROCEDIMIENTOS</w:t>
            </w:r>
          </w:p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A74FAF" w:rsidRDefault="005274FD" w:rsidP="005274FD">
            <w:r w:rsidRPr="00205637">
              <w:t>Dirección Técnica y de Planeación Estratégica</w:t>
            </w:r>
          </w:p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3959FA" w:rsidP="00AB1D63">
            <w:pPr>
              <w:jc w:val="both"/>
            </w:pPr>
            <w:r>
              <w:t>Adecuar las funciones que realmente realiza cada área que conforma la Comisaría y que se adecue el Reglamento de la Comisaría de la Policía Preventiva, Reglamento de Policía y Buen Gobierno y Reglamento de Carrera Policial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3959FA" w:rsidP="00AB1D63">
            <w:pPr>
              <w:jc w:val="both"/>
            </w:pPr>
            <w:r>
              <w:t>Comisaría de la Policía Preventiva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274FD" w:rsidRPr="00205637" w:rsidRDefault="00155BA4" w:rsidP="005274FD">
            <w:r>
              <w:t>Lic. María de la Luz Duarte Avalos</w:t>
            </w:r>
          </w:p>
          <w:p w:rsidR="005274FD" w:rsidRPr="00205637" w:rsidRDefault="005274FD" w:rsidP="005274FD">
            <w:r w:rsidRPr="00205637">
              <w:t>Tel: 33-45-59-25</w:t>
            </w:r>
          </w:p>
          <w:p w:rsidR="00A74FAF" w:rsidRDefault="005274FD" w:rsidP="005274FD">
            <w:r w:rsidRPr="00205637">
              <w:t xml:space="preserve">Correo Electrónico : </w:t>
            </w:r>
            <w:hyperlink r:id="rId9" w:history="1">
              <w:r w:rsidR="00155BA4" w:rsidRPr="009D0FC4">
                <w:rPr>
                  <w:rStyle w:val="Hipervnculo"/>
                </w:rPr>
                <w:t>maria.duarte@Tlaquepaque.gob.mx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AC460A" w:rsidP="00000051">
            <w:r>
              <w:t>Modernizar los procesos de la corporación, así como modernizar-adecuar los Reglamentos respectivos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A74FAF" w:rsidRDefault="00AC460A" w:rsidP="00AB1D63">
            <w:pPr>
              <w:jc w:val="both"/>
            </w:pPr>
            <w:r>
              <w:t>Toda la población de San Pedro Tlaquepaque. Empleados y usuarios de la policía</w:t>
            </w:r>
          </w:p>
        </w:tc>
      </w:tr>
      <w:tr w:rsidR="00A74FAF" w:rsidTr="00AB1D63">
        <w:tc>
          <w:tcPr>
            <w:tcW w:w="4599" w:type="dxa"/>
            <w:gridSpan w:val="5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Fecha de Cierre</w:t>
            </w:r>
          </w:p>
        </w:tc>
      </w:tr>
      <w:tr w:rsidR="00A74FAF" w:rsidTr="00AB1D63">
        <w:tc>
          <w:tcPr>
            <w:tcW w:w="1092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74FAF" w:rsidRDefault="00AC460A" w:rsidP="00AB1D63">
            <w:pPr>
              <w:jc w:val="center"/>
            </w:pPr>
            <w:r>
              <w:t>01 de Octubre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74FAF" w:rsidRDefault="00AC460A" w:rsidP="00AB1D63">
            <w:pPr>
              <w:jc w:val="center"/>
            </w:pPr>
            <w:r>
              <w:t>01 de Abril del 2018</w:t>
            </w:r>
          </w:p>
        </w:tc>
      </w:tr>
      <w:tr w:rsidR="00A74FAF" w:rsidTr="00AB1D63">
        <w:tc>
          <w:tcPr>
            <w:tcW w:w="1092" w:type="dxa"/>
          </w:tcPr>
          <w:p w:rsidR="00A74FAF" w:rsidRDefault="005274FD" w:rsidP="00AB1D6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915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532" w:type="dxa"/>
            <w:gridSpan w:val="2"/>
          </w:tcPr>
          <w:p w:rsidR="00A74FAF" w:rsidRDefault="00A74FAF" w:rsidP="00AB1D63">
            <w:pPr>
              <w:jc w:val="center"/>
            </w:pPr>
          </w:p>
        </w:tc>
        <w:tc>
          <w:tcPr>
            <w:tcW w:w="1678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417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74FAF" w:rsidRDefault="00AD4A1C" w:rsidP="00AB1D63">
            <w:pPr>
              <w:jc w:val="center"/>
            </w:pPr>
            <w:r>
              <w:t>X</w:t>
            </w:r>
          </w:p>
        </w:tc>
      </w:tr>
      <w:tr w:rsidR="00A74FAF" w:rsidTr="00AB1D63">
        <w:tc>
          <w:tcPr>
            <w:tcW w:w="3067" w:type="dxa"/>
            <w:gridSpan w:val="3"/>
            <w:shd w:val="clear" w:color="auto" w:fill="D9D9D9" w:themeFill="background1" w:themeFillShade="D9"/>
          </w:tcPr>
          <w:p w:rsidR="00A74FAF" w:rsidRDefault="00A74FAF" w:rsidP="00AB1D6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74FAF" w:rsidRDefault="00A74FAF" w:rsidP="00AB1D6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98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25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946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74" w:type="dxa"/>
            <w:shd w:val="clear" w:color="auto" w:fill="FABF8F" w:themeFill="accent6" w:themeFillTint="99"/>
          </w:tcPr>
          <w:p w:rsidR="00A74FAF" w:rsidRDefault="00A74FAF" w:rsidP="00AB1D63"/>
        </w:tc>
      </w:tr>
    </w:tbl>
    <w:p w:rsidR="00A74FAF" w:rsidRDefault="00A74FAF" w:rsidP="00A74FAF">
      <w:r>
        <w:br w:type="page"/>
      </w:r>
    </w:p>
    <w:p w:rsidR="00A74FAF" w:rsidRDefault="00A74FAF" w:rsidP="00A74FAF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55"/>
        <w:gridCol w:w="817"/>
        <w:gridCol w:w="774"/>
        <w:gridCol w:w="326"/>
        <w:gridCol w:w="325"/>
        <w:gridCol w:w="836"/>
        <w:gridCol w:w="320"/>
        <w:gridCol w:w="319"/>
        <w:gridCol w:w="813"/>
        <w:gridCol w:w="732"/>
        <w:gridCol w:w="836"/>
        <w:gridCol w:w="763"/>
        <w:gridCol w:w="841"/>
        <w:gridCol w:w="909"/>
        <w:gridCol w:w="740"/>
      </w:tblGrid>
      <w:tr w:rsidR="00A74FAF" w:rsidTr="00F00212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A)Actividades a realizar para la obtención del producto esperado </w:t>
            </w:r>
          </w:p>
        </w:tc>
        <w:tc>
          <w:tcPr>
            <w:tcW w:w="3551" w:type="pct"/>
            <w:gridSpan w:val="14"/>
            <w:shd w:val="clear" w:color="auto" w:fill="auto"/>
          </w:tcPr>
          <w:p w:rsidR="00A74FAF" w:rsidRDefault="00AC460A" w:rsidP="00AB1D63">
            <w:pPr>
              <w:jc w:val="both"/>
            </w:pPr>
            <w:r>
              <w:t>Coordinación de todas las</w:t>
            </w:r>
            <w:r w:rsidR="00AD4A1C">
              <w:t xml:space="preserve"> áreas para la</w:t>
            </w:r>
            <w:r>
              <w:t xml:space="preserve"> Identificación de los procesos que lleva cada una de las áreas, revisión de leyes y reglamentos de todos los</w:t>
            </w:r>
            <w:r w:rsidR="00AD4A1C">
              <w:t xml:space="preserve"> niveles de gobierno aplicables, así como coordinar la propuesta de modificación.</w:t>
            </w:r>
          </w:p>
        </w:tc>
      </w:tr>
      <w:tr w:rsidR="00A74FAF" w:rsidTr="00F00212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A74FAF" w:rsidRDefault="00A74FAF" w:rsidP="00AB1D63">
            <w:r>
              <w:t>B) Principal producto esperado (base para el establecimiento de metas)</w:t>
            </w:r>
          </w:p>
        </w:tc>
        <w:tc>
          <w:tcPr>
            <w:tcW w:w="3551" w:type="pct"/>
            <w:gridSpan w:val="14"/>
            <w:shd w:val="clear" w:color="auto" w:fill="auto"/>
          </w:tcPr>
          <w:p w:rsidR="00A74FAF" w:rsidRDefault="00AD4A1C" w:rsidP="00D017AC">
            <w:pPr>
              <w:jc w:val="both"/>
            </w:pPr>
            <w:r>
              <w:t>Modernización de procesos, manuales y reglamentos municipales</w:t>
            </w:r>
          </w:p>
        </w:tc>
      </w:tr>
      <w:tr w:rsidR="00A74FAF" w:rsidTr="00F00212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Indicador de Resultados vinculado al PMD según Línea de Acción </w:t>
            </w:r>
          </w:p>
        </w:tc>
        <w:tc>
          <w:tcPr>
            <w:tcW w:w="3551" w:type="pct"/>
            <w:gridSpan w:val="14"/>
            <w:shd w:val="clear" w:color="auto" w:fill="FABF8F" w:themeFill="accent6" w:themeFillTint="99"/>
          </w:tcPr>
          <w:p w:rsidR="00A74FAF" w:rsidRDefault="00A74FAF" w:rsidP="00AB1D63">
            <w:pPr>
              <w:jc w:val="both"/>
            </w:pPr>
          </w:p>
        </w:tc>
      </w:tr>
      <w:tr w:rsidR="00A74FAF" w:rsidTr="00F00212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Indicador vinculado a los Objetivos de Desarrollo Sostenible </w:t>
            </w:r>
          </w:p>
        </w:tc>
        <w:tc>
          <w:tcPr>
            <w:tcW w:w="3551" w:type="pct"/>
            <w:gridSpan w:val="14"/>
            <w:shd w:val="clear" w:color="auto" w:fill="FABF8F" w:themeFill="accent6" w:themeFillTint="99"/>
          </w:tcPr>
          <w:p w:rsidR="00A74FAF" w:rsidRDefault="00A74FAF" w:rsidP="00AB1D63">
            <w:pPr>
              <w:jc w:val="both"/>
            </w:pPr>
          </w:p>
        </w:tc>
      </w:tr>
      <w:tr w:rsidR="00A74FAF" w:rsidTr="00F00212">
        <w:tc>
          <w:tcPr>
            <w:tcW w:w="1449" w:type="pct"/>
            <w:vMerge w:val="restart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Alcance</w:t>
            </w:r>
          </w:p>
        </w:tc>
        <w:tc>
          <w:tcPr>
            <w:tcW w:w="728" w:type="pct"/>
            <w:gridSpan w:val="3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Corto Plazo</w:t>
            </w:r>
          </w:p>
        </w:tc>
        <w:tc>
          <w:tcPr>
            <w:tcW w:w="1590" w:type="pct"/>
            <w:gridSpan w:val="7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Mediano Plazo</w:t>
            </w:r>
          </w:p>
        </w:tc>
        <w:tc>
          <w:tcPr>
            <w:tcW w:w="1233" w:type="pct"/>
            <w:gridSpan w:val="4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Largo Plazo</w:t>
            </w:r>
          </w:p>
        </w:tc>
      </w:tr>
      <w:tr w:rsidR="00A74FAF" w:rsidTr="00F00212">
        <w:tc>
          <w:tcPr>
            <w:tcW w:w="1449" w:type="pct"/>
            <w:vMerge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</w:p>
        </w:tc>
        <w:tc>
          <w:tcPr>
            <w:tcW w:w="728" w:type="pct"/>
            <w:gridSpan w:val="3"/>
            <w:shd w:val="clear" w:color="auto" w:fill="auto"/>
          </w:tcPr>
          <w:p w:rsidR="00A74FAF" w:rsidRDefault="00AD4A1C" w:rsidP="00AB1D63">
            <w:r>
              <w:t>20%</w:t>
            </w:r>
          </w:p>
        </w:tc>
        <w:tc>
          <w:tcPr>
            <w:tcW w:w="1590" w:type="pct"/>
            <w:gridSpan w:val="7"/>
            <w:shd w:val="clear" w:color="auto" w:fill="auto"/>
          </w:tcPr>
          <w:p w:rsidR="00A74FAF" w:rsidRDefault="00AD4A1C" w:rsidP="00AB1D63">
            <w:r>
              <w:t>80%</w:t>
            </w:r>
          </w:p>
        </w:tc>
        <w:tc>
          <w:tcPr>
            <w:tcW w:w="1233" w:type="pct"/>
            <w:gridSpan w:val="4"/>
            <w:shd w:val="clear" w:color="auto" w:fill="auto"/>
          </w:tcPr>
          <w:p w:rsidR="00A74FAF" w:rsidRDefault="00A74FAF" w:rsidP="00AB1D63"/>
        </w:tc>
      </w:tr>
      <w:tr w:rsidR="00A74FAF" w:rsidTr="00F00212">
        <w:tc>
          <w:tcPr>
            <w:tcW w:w="1449" w:type="pct"/>
            <w:shd w:val="clear" w:color="auto" w:fill="D9D9D9" w:themeFill="background1" w:themeFillShade="D9"/>
          </w:tcPr>
          <w:p w:rsidR="00A74FAF" w:rsidRDefault="00A74FAF" w:rsidP="00AB1D63">
            <w:r>
              <w:t>C) Valor Inicial de la Meta</w:t>
            </w:r>
          </w:p>
        </w:tc>
        <w:tc>
          <w:tcPr>
            <w:tcW w:w="1292" w:type="pct"/>
            <w:gridSpan w:val="6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Valor final de la Meta</w:t>
            </w:r>
          </w:p>
        </w:tc>
        <w:tc>
          <w:tcPr>
            <w:tcW w:w="2259" w:type="pct"/>
            <w:gridSpan w:val="8"/>
            <w:vMerge w:val="restart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</w:p>
        </w:tc>
      </w:tr>
      <w:tr w:rsidR="00A74FAF" w:rsidTr="00F00212">
        <w:tc>
          <w:tcPr>
            <w:tcW w:w="1449" w:type="pct"/>
            <w:shd w:val="clear" w:color="auto" w:fill="auto"/>
          </w:tcPr>
          <w:p w:rsidR="00A74FAF" w:rsidRDefault="00AD4A1C" w:rsidP="00AB1D63">
            <w:pPr>
              <w:jc w:val="center"/>
            </w:pPr>
            <w:r>
              <w:t>Identificación de procesos</w:t>
            </w:r>
          </w:p>
          <w:p w:rsidR="00A74FAF" w:rsidRDefault="00A74FAF" w:rsidP="00AB1D63">
            <w:pPr>
              <w:jc w:val="center"/>
            </w:pPr>
          </w:p>
        </w:tc>
        <w:tc>
          <w:tcPr>
            <w:tcW w:w="1292" w:type="pct"/>
            <w:gridSpan w:val="6"/>
            <w:shd w:val="clear" w:color="auto" w:fill="auto"/>
          </w:tcPr>
          <w:p w:rsidR="00A74FAF" w:rsidRDefault="00AD4A1C" w:rsidP="00AB1D63">
            <w:pPr>
              <w:jc w:val="center"/>
            </w:pPr>
            <w:r>
              <w:t>Modernización de procesos, manuales y reglamentos</w:t>
            </w:r>
          </w:p>
        </w:tc>
        <w:tc>
          <w:tcPr>
            <w:tcW w:w="2259" w:type="pct"/>
            <w:gridSpan w:val="8"/>
            <w:vMerge/>
            <w:shd w:val="clear" w:color="auto" w:fill="auto"/>
          </w:tcPr>
          <w:p w:rsidR="00A74FAF" w:rsidRDefault="00A74FAF" w:rsidP="00AB1D63"/>
        </w:tc>
      </w:tr>
      <w:tr w:rsidR="00A74FAF" w:rsidTr="00F00212">
        <w:tc>
          <w:tcPr>
            <w:tcW w:w="2741" w:type="pct"/>
            <w:gridSpan w:val="7"/>
            <w:shd w:val="clear" w:color="auto" w:fill="D9D9D9" w:themeFill="background1" w:themeFillShade="D9"/>
          </w:tcPr>
          <w:p w:rsidR="00A74FAF" w:rsidRDefault="00A74FAF" w:rsidP="00AB1D63">
            <w:r>
              <w:t>Clave de presupuesto determinada en Finanzas para la etiquetación de recursos</w:t>
            </w:r>
          </w:p>
        </w:tc>
        <w:tc>
          <w:tcPr>
            <w:tcW w:w="2259" w:type="pct"/>
            <w:gridSpan w:val="8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A74FAF" w:rsidRDefault="00A74FAF" w:rsidP="00AB1D63">
            <w:pPr>
              <w:jc w:val="center"/>
            </w:pPr>
            <w:r>
              <w:t>Cronograma Anual  de Actividades</w:t>
            </w:r>
          </w:p>
        </w:tc>
      </w:tr>
      <w:tr w:rsidR="00A74FAF" w:rsidTr="00AB1D6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A74FAF" w:rsidRDefault="00A74FAF" w:rsidP="00AB1D63"/>
          <w:p w:rsidR="00A74FAF" w:rsidRDefault="00A74FAF" w:rsidP="00AB1D6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DIC</w:t>
            </w:r>
          </w:p>
        </w:tc>
      </w:tr>
      <w:tr w:rsidR="00A74FAF" w:rsidTr="00AB1D63">
        <w:trPr>
          <w:trHeight w:val="312"/>
        </w:trPr>
        <w:tc>
          <w:tcPr>
            <w:tcW w:w="0" w:type="auto"/>
            <w:shd w:val="clear" w:color="auto" w:fill="auto"/>
          </w:tcPr>
          <w:p w:rsidR="00A74FAF" w:rsidRPr="00145F76" w:rsidRDefault="00AD4A1C" w:rsidP="003A312E">
            <w:pPr>
              <w:jc w:val="both"/>
              <w:rPr>
                <w:sz w:val="20"/>
              </w:rPr>
            </w:pPr>
            <w:r>
              <w:rPr>
                <w:sz w:val="20"/>
              </w:rPr>
              <w:t>Revisión de las funciones y procesos de cada área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88"/>
        </w:trPr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Identificación de procesos y faltantes 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63"/>
        </w:trPr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both"/>
              <w:rPr>
                <w:sz w:val="20"/>
              </w:rPr>
            </w:pPr>
            <w:r>
              <w:rPr>
                <w:sz w:val="20"/>
              </w:rPr>
              <w:t>Propuestas de modificaciones de cada área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81"/>
        </w:trPr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both"/>
              <w:rPr>
                <w:sz w:val="20"/>
              </w:rPr>
            </w:pPr>
            <w:r>
              <w:rPr>
                <w:sz w:val="20"/>
              </w:rPr>
              <w:t>Propuesta de inclusión o derogación de los Reglamentos aplicables en materia de seguridad pública municipal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D4A1C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4FAF" w:rsidTr="00AB1D63">
        <w:trPr>
          <w:trHeight w:val="271"/>
        </w:trPr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62"/>
        </w:trPr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</w:tbl>
    <w:p w:rsidR="00A74FAF" w:rsidRPr="007031DE" w:rsidRDefault="00A74FAF" w:rsidP="00A74FAF">
      <w:pPr>
        <w:rPr>
          <w:i/>
          <w:sz w:val="16"/>
        </w:rPr>
      </w:pPr>
    </w:p>
    <w:p w:rsidR="00A74FAF" w:rsidRDefault="00A74FAF">
      <w:pPr>
        <w:rPr>
          <w:i/>
          <w:sz w:val="16"/>
        </w:rPr>
      </w:pPr>
      <w:r>
        <w:rPr>
          <w:i/>
          <w:sz w:val="16"/>
        </w:rPr>
        <w:br w:type="page"/>
      </w:r>
    </w:p>
    <w:p w:rsidR="00A74FAF" w:rsidRDefault="00A74FAF" w:rsidP="00A74FAF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FAF" w:rsidRDefault="00A74FAF" w:rsidP="00A74FAF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A74FAF" w:rsidRPr="0068316A" w:rsidRDefault="00A74FAF" w:rsidP="00A74FAF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74FAF" w:rsidRDefault="008E3475" w:rsidP="00AB1D63">
            <w:pPr>
              <w:jc w:val="both"/>
            </w:pPr>
            <w:r>
              <w:t>REESTRUCURACIÓN DEL SECTOR 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E7A94" w:rsidRDefault="001E7A94" w:rsidP="001E7A94">
            <w:r w:rsidRPr="00205637">
              <w:t>Dirección Técnica y de Planeación Estratégica</w:t>
            </w:r>
          </w:p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1E7A94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 w:rsidR="00A74FAF" w:rsidRPr="001E7A94" w:rsidRDefault="001E7A94" w:rsidP="00AB1D63">
            <w:pPr>
              <w:jc w:val="both"/>
            </w:pPr>
            <w:r>
              <w:t>Acortar</w:t>
            </w:r>
            <w:r w:rsidRPr="001E7A94">
              <w:t xml:space="preserve"> el espacio </w:t>
            </w:r>
            <w:r>
              <w:t>geográfico que debe atender la Dirección Operativa, con el objeto de controlar la incidencia delictiva, reduciendo tiempos de respuesta</w:t>
            </w:r>
            <w:r w:rsidR="00573193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1E7A94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  <w:shd w:val="clear" w:color="auto" w:fill="auto"/>
          </w:tcPr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573193" w:rsidP="00AB1D63">
            <w:pPr>
              <w:jc w:val="both"/>
            </w:pPr>
            <w:r>
              <w:t xml:space="preserve">Sector 2 que comprende las delegaciones de San Pedrito, </w:t>
            </w:r>
            <w:proofErr w:type="spellStart"/>
            <w:r>
              <w:t>Tateposco</w:t>
            </w:r>
            <w:proofErr w:type="spellEnd"/>
            <w:r>
              <w:t xml:space="preserve"> y San Martín de las Flores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F3AE0" w:rsidRPr="00205637" w:rsidRDefault="00155BA4" w:rsidP="000F3AE0">
            <w:r>
              <w:t>María de la Luz Duarte Avalos</w:t>
            </w:r>
          </w:p>
          <w:p w:rsidR="000F3AE0" w:rsidRPr="00205637" w:rsidRDefault="000F3AE0" w:rsidP="000F3AE0">
            <w:r w:rsidRPr="00205637">
              <w:t>Tel: 33-45-59-25</w:t>
            </w:r>
          </w:p>
          <w:p w:rsidR="00A74FAF" w:rsidRDefault="000F3AE0" w:rsidP="000F3AE0">
            <w:r w:rsidRPr="00205637">
              <w:t xml:space="preserve">Correo Electrónico : </w:t>
            </w:r>
            <w:hyperlink r:id="rId10" w:history="1">
              <w:r w:rsidR="00155BA4" w:rsidRPr="009D0FC4">
                <w:rPr>
                  <w:rStyle w:val="Hipervnculo"/>
                </w:rPr>
                <w:t>maria.duarte@Tlaquepaque.gob.mx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4FAF" w:rsidRDefault="00A74FAF" w:rsidP="00AB1D6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A74FAF" w:rsidRDefault="00573193" w:rsidP="008E3475">
            <w:pPr>
              <w:jc w:val="both"/>
            </w:pPr>
            <w:r>
              <w:t>Disminuir la incidencia delictiva en la zona. Dividiendo el sector en dos sectores diferentes.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4FAF" w:rsidRDefault="00A74FAF" w:rsidP="00AB1D63"/>
        </w:tc>
        <w:tc>
          <w:tcPr>
            <w:tcW w:w="6662" w:type="dxa"/>
            <w:gridSpan w:val="6"/>
            <w:vMerge/>
          </w:tcPr>
          <w:p w:rsidR="00A74FAF" w:rsidRDefault="00A74FAF" w:rsidP="00AB1D6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0F3AE0" w:rsidRDefault="00573193" w:rsidP="008E3475">
            <w:pPr>
              <w:jc w:val="both"/>
            </w:pPr>
            <w:r>
              <w:t>Habitantes y transeúntes de la zona a atender</w:t>
            </w:r>
          </w:p>
        </w:tc>
      </w:tr>
      <w:tr w:rsidR="00A74FAF" w:rsidTr="00AB1D63">
        <w:tc>
          <w:tcPr>
            <w:tcW w:w="4599" w:type="dxa"/>
            <w:gridSpan w:val="5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Fecha de Cierre</w:t>
            </w:r>
          </w:p>
        </w:tc>
      </w:tr>
      <w:tr w:rsidR="00A74FAF" w:rsidTr="00AB1D63">
        <w:tc>
          <w:tcPr>
            <w:tcW w:w="1092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74FAF" w:rsidRDefault="00573193" w:rsidP="00AB1D63">
            <w:pPr>
              <w:jc w:val="center"/>
            </w:pPr>
            <w:r>
              <w:t>11 Octubre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74FAF" w:rsidRDefault="00573193" w:rsidP="00AB1D63">
            <w:pPr>
              <w:jc w:val="center"/>
            </w:pPr>
            <w:r>
              <w:t>11 de Enero del 2018</w:t>
            </w:r>
          </w:p>
        </w:tc>
      </w:tr>
      <w:tr w:rsidR="00A74FAF" w:rsidTr="00AB1D63">
        <w:tc>
          <w:tcPr>
            <w:tcW w:w="1092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060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915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532" w:type="dxa"/>
            <w:gridSpan w:val="2"/>
          </w:tcPr>
          <w:p w:rsidR="00A74FAF" w:rsidRDefault="00573193" w:rsidP="00AB1D63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1417" w:type="dxa"/>
          </w:tcPr>
          <w:p w:rsidR="00A74FAF" w:rsidRDefault="00A74FAF" w:rsidP="00AB1D6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x</w:t>
            </w:r>
          </w:p>
        </w:tc>
      </w:tr>
      <w:tr w:rsidR="00A74FAF" w:rsidTr="00AB1D63">
        <w:tc>
          <w:tcPr>
            <w:tcW w:w="3067" w:type="dxa"/>
            <w:gridSpan w:val="3"/>
            <w:shd w:val="clear" w:color="auto" w:fill="D9D9D9" w:themeFill="background1" w:themeFillShade="D9"/>
          </w:tcPr>
          <w:p w:rsidR="00A74FAF" w:rsidRDefault="00A74FAF" w:rsidP="00AB1D6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74FAF" w:rsidRDefault="00A74FAF" w:rsidP="00AB1D6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4FAF" w:rsidRDefault="00A74FAF" w:rsidP="00AB1D6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98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25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946" w:type="dxa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74FAF" w:rsidRDefault="00A74FAF" w:rsidP="00AB1D63"/>
        </w:tc>
        <w:tc>
          <w:tcPr>
            <w:tcW w:w="874" w:type="dxa"/>
            <w:shd w:val="clear" w:color="auto" w:fill="FABF8F" w:themeFill="accent6" w:themeFillTint="99"/>
          </w:tcPr>
          <w:p w:rsidR="00A74FAF" w:rsidRDefault="00A74FAF" w:rsidP="00AB1D63"/>
        </w:tc>
      </w:tr>
    </w:tbl>
    <w:p w:rsidR="00A74FAF" w:rsidRDefault="00A74FAF" w:rsidP="00A74FAF">
      <w:r>
        <w:br w:type="page"/>
      </w:r>
    </w:p>
    <w:p w:rsidR="00A74FAF" w:rsidRDefault="00A74FAF" w:rsidP="00A74FAF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769"/>
        <w:gridCol w:w="807"/>
        <w:gridCol w:w="761"/>
        <w:gridCol w:w="326"/>
        <w:gridCol w:w="325"/>
        <w:gridCol w:w="823"/>
        <w:gridCol w:w="320"/>
        <w:gridCol w:w="319"/>
        <w:gridCol w:w="802"/>
        <w:gridCol w:w="722"/>
        <w:gridCol w:w="826"/>
        <w:gridCol w:w="753"/>
        <w:gridCol w:w="828"/>
        <w:gridCol w:w="896"/>
        <w:gridCol w:w="729"/>
      </w:tblGrid>
      <w:tr w:rsidR="00A74FAF" w:rsidTr="00AB1D63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A)Actividades a realizar para la obtención del producto esperado 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A74FAF" w:rsidRDefault="00573193" w:rsidP="00AB1D63">
            <w:pPr>
              <w:jc w:val="both"/>
            </w:pPr>
            <w:r>
              <w:t>Verificación de índices de criminalidad y tipo de delito en la zona, estudio del comportamiento y de la zona geográfica, factores de riesgo y perfil de la comunidad.</w:t>
            </w:r>
          </w:p>
        </w:tc>
      </w:tr>
      <w:tr w:rsidR="00A74FAF" w:rsidTr="00AB1D63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74FAF" w:rsidRDefault="00A74FAF" w:rsidP="00AB1D63">
            <w:r>
              <w:t>B) Principal producto esperado (base para el establecimiento de metas)</w:t>
            </w:r>
          </w:p>
        </w:tc>
        <w:tc>
          <w:tcPr>
            <w:tcW w:w="3506" w:type="pct"/>
            <w:gridSpan w:val="14"/>
            <w:shd w:val="clear" w:color="auto" w:fill="auto"/>
          </w:tcPr>
          <w:p w:rsidR="00A74FAF" w:rsidRDefault="00573193" w:rsidP="00AB1D63">
            <w:pPr>
              <w:jc w:val="both"/>
            </w:pPr>
            <w:r>
              <w:t>División del sector dos, en dos sectores diferentes</w:t>
            </w:r>
          </w:p>
        </w:tc>
      </w:tr>
      <w:tr w:rsidR="00A74FAF" w:rsidTr="00AB1D63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Indicador de Resultados vinculado al PMD según Línea de Acción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A74FAF" w:rsidRDefault="00A74FAF" w:rsidP="00AB1D63">
            <w:pPr>
              <w:jc w:val="both"/>
            </w:pPr>
          </w:p>
        </w:tc>
      </w:tr>
      <w:tr w:rsidR="00A74FAF" w:rsidTr="00AB1D63">
        <w:trPr>
          <w:trHeight w:val="547"/>
        </w:trPr>
        <w:tc>
          <w:tcPr>
            <w:tcW w:w="1494" w:type="pct"/>
            <w:shd w:val="clear" w:color="auto" w:fill="D9D9D9" w:themeFill="background1" w:themeFillShade="D9"/>
          </w:tcPr>
          <w:p w:rsidR="00A74FAF" w:rsidRDefault="00A74FAF" w:rsidP="00AB1D63">
            <w:r>
              <w:t xml:space="preserve">Indicador vinculado a los Objetivos de Desarrollo Sostenible </w:t>
            </w:r>
          </w:p>
        </w:tc>
        <w:tc>
          <w:tcPr>
            <w:tcW w:w="3506" w:type="pct"/>
            <w:gridSpan w:val="14"/>
            <w:shd w:val="clear" w:color="auto" w:fill="FABF8F" w:themeFill="accent6" w:themeFillTint="99"/>
          </w:tcPr>
          <w:p w:rsidR="00A74FAF" w:rsidRDefault="00A74FAF" w:rsidP="00AB1D63">
            <w:pPr>
              <w:jc w:val="both"/>
            </w:pPr>
          </w:p>
        </w:tc>
      </w:tr>
      <w:tr w:rsidR="00A74FAF" w:rsidTr="00AB1D63">
        <w:tc>
          <w:tcPr>
            <w:tcW w:w="1494" w:type="pct"/>
            <w:vMerge w:val="restart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Alcance</w:t>
            </w:r>
          </w:p>
        </w:tc>
        <w:tc>
          <w:tcPr>
            <w:tcW w:w="719" w:type="pct"/>
            <w:gridSpan w:val="3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Corto Plazo</w:t>
            </w:r>
          </w:p>
        </w:tc>
        <w:tc>
          <w:tcPr>
            <w:tcW w:w="1571" w:type="pct"/>
            <w:gridSpan w:val="7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Mediano Plazo</w:t>
            </w:r>
          </w:p>
        </w:tc>
        <w:tc>
          <w:tcPr>
            <w:tcW w:w="1216" w:type="pct"/>
            <w:gridSpan w:val="4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Largo Plazo</w:t>
            </w:r>
          </w:p>
        </w:tc>
      </w:tr>
      <w:tr w:rsidR="00A74FAF" w:rsidTr="00AB1D63">
        <w:tc>
          <w:tcPr>
            <w:tcW w:w="1494" w:type="pct"/>
            <w:vMerge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</w:p>
        </w:tc>
        <w:tc>
          <w:tcPr>
            <w:tcW w:w="719" w:type="pct"/>
            <w:gridSpan w:val="3"/>
            <w:shd w:val="clear" w:color="auto" w:fill="auto"/>
          </w:tcPr>
          <w:p w:rsidR="00A74FAF" w:rsidRDefault="00573193" w:rsidP="00AB1D63">
            <w:r>
              <w:t>50%</w:t>
            </w:r>
          </w:p>
        </w:tc>
        <w:tc>
          <w:tcPr>
            <w:tcW w:w="1571" w:type="pct"/>
            <w:gridSpan w:val="7"/>
            <w:shd w:val="clear" w:color="auto" w:fill="auto"/>
          </w:tcPr>
          <w:p w:rsidR="00A74FAF" w:rsidRDefault="00573193" w:rsidP="00AB1D63">
            <w:r>
              <w:t>50%</w:t>
            </w:r>
          </w:p>
        </w:tc>
        <w:tc>
          <w:tcPr>
            <w:tcW w:w="1216" w:type="pct"/>
            <w:gridSpan w:val="4"/>
            <w:shd w:val="clear" w:color="auto" w:fill="auto"/>
          </w:tcPr>
          <w:p w:rsidR="00A74FAF" w:rsidRDefault="00A74FAF" w:rsidP="00AB1D63"/>
        </w:tc>
      </w:tr>
      <w:tr w:rsidR="00A74FAF" w:rsidTr="00AB1D63">
        <w:tc>
          <w:tcPr>
            <w:tcW w:w="1494" w:type="pct"/>
            <w:shd w:val="clear" w:color="auto" w:fill="D9D9D9" w:themeFill="background1" w:themeFillShade="D9"/>
          </w:tcPr>
          <w:p w:rsidR="00A74FAF" w:rsidRDefault="00A74FAF" w:rsidP="00AB1D63">
            <w:r>
              <w:t>C) Valor Inicial de la Meta</w:t>
            </w:r>
          </w:p>
        </w:tc>
        <w:tc>
          <w:tcPr>
            <w:tcW w:w="1278" w:type="pct"/>
            <w:gridSpan w:val="6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  <w:r>
              <w:t>Valor final de la Meta</w:t>
            </w:r>
          </w:p>
        </w:tc>
        <w:tc>
          <w:tcPr>
            <w:tcW w:w="2227" w:type="pct"/>
            <w:gridSpan w:val="8"/>
            <w:vMerge w:val="restart"/>
            <w:shd w:val="clear" w:color="auto" w:fill="D9D9D9" w:themeFill="background1" w:themeFillShade="D9"/>
          </w:tcPr>
          <w:p w:rsidR="00A74FAF" w:rsidRDefault="00A74FAF" w:rsidP="00AB1D63">
            <w:pPr>
              <w:jc w:val="center"/>
            </w:pPr>
          </w:p>
        </w:tc>
      </w:tr>
      <w:tr w:rsidR="00A74FAF" w:rsidTr="00AB1D63">
        <w:tc>
          <w:tcPr>
            <w:tcW w:w="1494" w:type="pct"/>
            <w:shd w:val="clear" w:color="auto" w:fill="auto"/>
          </w:tcPr>
          <w:p w:rsidR="00A74FAF" w:rsidRDefault="00573193" w:rsidP="00AB1D63">
            <w:pPr>
              <w:jc w:val="center"/>
            </w:pPr>
            <w:r>
              <w:t>10%</w:t>
            </w:r>
          </w:p>
        </w:tc>
        <w:tc>
          <w:tcPr>
            <w:tcW w:w="1278" w:type="pct"/>
            <w:gridSpan w:val="6"/>
            <w:shd w:val="clear" w:color="auto" w:fill="auto"/>
          </w:tcPr>
          <w:p w:rsidR="00A74FAF" w:rsidRDefault="00573193" w:rsidP="00AB1D63">
            <w:pPr>
              <w:jc w:val="center"/>
            </w:pPr>
            <w:r>
              <w:t>90%</w:t>
            </w:r>
          </w:p>
        </w:tc>
        <w:tc>
          <w:tcPr>
            <w:tcW w:w="2227" w:type="pct"/>
            <w:gridSpan w:val="8"/>
            <w:vMerge/>
            <w:shd w:val="clear" w:color="auto" w:fill="auto"/>
          </w:tcPr>
          <w:p w:rsidR="00A74FAF" w:rsidRDefault="00A74FAF" w:rsidP="00AB1D63"/>
        </w:tc>
      </w:tr>
      <w:tr w:rsidR="00A74FAF" w:rsidTr="00AB1D63">
        <w:tc>
          <w:tcPr>
            <w:tcW w:w="2773" w:type="pct"/>
            <w:gridSpan w:val="7"/>
            <w:shd w:val="clear" w:color="auto" w:fill="D9D9D9" w:themeFill="background1" w:themeFillShade="D9"/>
          </w:tcPr>
          <w:p w:rsidR="00A74FAF" w:rsidRDefault="00A74FAF" w:rsidP="00AB1D63">
            <w:r>
              <w:t>Clave de presupuesto determinada en Finanzas para la etiquetación de recursos</w:t>
            </w:r>
          </w:p>
        </w:tc>
        <w:tc>
          <w:tcPr>
            <w:tcW w:w="2227" w:type="pct"/>
            <w:gridSpan w:val="8"/>
            <w:shd w:val="clear" w:color="auto" w:fill="FABF8F" w:themeFill="accent6" w:themeFillTint="99"/>
          </w:tcPr>
          <w:p w:rsidR="00A74FAF" w:rsidRDefault="00A74FAF" w:rsidP="00AB1D63"/>
        </w:tc>
      </w:tr>
      <w:tr w:rsidR="00A74FAF" w:rsidTr="00AB1D6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A74FAF" w:rsidRDefault="00A74FAF" w:rsidP="00AB1D63">
            <w:pPr>
              <w:jc w:val="center"/>
            </w:pPr>
            <w:r>
              <w:t>Cronograma Anual  de Actividades</w:t>
            </w:r>
          </w:p>
        </w:tc>
      </w:tr>
      <w:tr w:rsidR="00A74FAF" w:rsidTr="00AB1D6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A74FAF" w:rsidRDefault="00A74FAF" w:rsidP="00AB1D63"/>
          <w:p w:rsidR="00A74FAF" w:rsidRDefault="00A74FAF" w:rsidP="00AB1D6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A74FAF" w:rsidRDefault="00A74FAF" w:rsidP="00AB1D63">
            <w:pPr>
              <w:jc w:val="center"/>
            </w:pPr>
            <w:r>
              <w:t>DIC</w:t>
            </w:r>
          </w:p>
        </w:tc>
      </w:tr>
      <w:tr w:rsidR="00A74FAF" w:rsidTr="00AB1D63">
        <w:trPr>
          <w:trHeight w:val="312"/>
        </w:trPr>
        <w:tc>
          <w:tcPr>
            <w:tcW w:w="0" w:type="auto"/>
            <w:shd w:val="clear" w:color="auto" w:fill="auto"/>
          </w:tcPr>
          <w:p w:rsidR="00A74FAF" w:rsidRPr="00145F76" w:rsidRDefault="00573193" w:rsidP="007B133C">
            <w:pPr>
              <w:rPr>
                <w:sz w:val="20"/>
              </w:rPr>
            </w:pPr>
            <w:r>
              <w:rPr>
                <w:sz w:val="20"/>
              </w:rPr>
              <w:t>Revisión de indicadores y factores criminógenos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88"/>
        </w:trPr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both"/>
              <w:rPr>
                <w:sz w:val="20"/>
              </w:rPr>
            </w:pPr>
            <w:r>
              <w:rPr>
                <w:sz w:val="20"/>
              </w:rPr>
              <w:t>Estudio de geográfico y de la población de la zona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63"/>
        </w:trPr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both"/>
              <w:rPr>
                <w:sz w:val="20"/>
              </w:rPr>
            </w:pPr>
            <w:r>
              <w:rPr>
                <w:sz w:val="20"/>
              </w:rPr>
              <w:t>Propuesta de división considerando todos los factores y vías de acceso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4FAF" w:rsidRPr="00145F76" w:rsidRDefault="00573193" w:rsidP="00AB1D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74FAF" w:rsidTr="00AB1D63">
        <w:trPr>
          <w:trHeight w:val="281"/>
        </w:trPr>
        <w:tc>
          <w:tcPr>
            <w:tcW w:w="0" w:type="auto"/>
            <w:shd w:val="clear" w:color="auto" w:fill="auto"/>
          </w:tcPr>
          <w:p w:rsidR="00F86CE9" w:rsidRPr="00145F76" w:rsidRDefault="00F86CE9" w:rsidP="00AB1D6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71"/>
        </w:trPr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62"/>
        </w:trPr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80"/>
        </w:trPr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  <w:tr w:rsidR="00A74FAF" w:rsidTr="00AB1D63">
        <w:trPr>
          <w:trHeight w:val="283"/>
        </w:trPr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4FAF" w:rsidRPr="00145F76" w:rsidRDefault="00A74FAF" w:rsidP="00AB1D63">
            <w:pPr>
              <w:jc w:val="center"/>
              <w:rPr>
                <w:sz w:val="20"/>
              </w:rPr>
            </w:pPr>
          </w:p>
        </w:tc>
      </w:tr>
    </w:tbl>
    <w:p w:rsidR="00A74FAF" w:rsidRDefault="00A74FAF" w:rsidP="00A74FAF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A74FAF" w:rsidRDefault="00A74FAF" w:rsidP="00A74FAF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DC7" w:rsidRDefault="00125DC7" w:rsidP="00125DC7">
      <w:pPr>
        <w:rPr>
          <w:rFonts w:ascii="Calibri" w:hAnsi="Calibri" w:cs="Times New Roman"/>
          <w:i/>
          <w:sz w:val="16"/>
        </w:rPr>
      </w:pPr>
    </w:p>
    <w:p w:rsidR="00125DC7" w:rsidRDefault="00125DC7" w:rsidP="00125DC7">
      <w:pPr>
        <w:rPr>
          <w:i/>
          <w:sz w:val="16"/>
        </w:rPr>
      </w:pPr>
    </w:p>
    <w:p w:rsidR="00125DC7" w:rsidRPr="007031DE" w:rsidRDefault="00125DC7" w:rsidP="00125DC7">
      <w:pPr>
        <w:rPr>
          <w:i/>
          <w:sz w:val="16"/>
        </w:rPr>
      </w:pPr>
    </w:p>
    <w:p w:rsidR="00125DC7" w:rsidRPr="007031DE" w:rsidRDefault="00125DC7" w:rsidP="00125DC7">
      <w:pPr>
        <w:rPr>
          <w:i/>
          <w:sz w:val="16"/>
        </w:rPr>
      </w:pPr>
    </w:p>
    <w:p w:rsidR="00125DC7" w:rsidRPr="007031DE" w:rsidRDefault="00125DC7" w:rsidP="00125DC7">
      <w:pPr>
        <w:rPr>
          <w:i/>
          <w:sz w:val="16"/>
        </w:rPr>
      </w:pPr>
    </w:p>
    <w:p w:rsidR="00125DC7" w:rsidRPr="007031DE" w:rsidRDefault="00125DC7" w:rsidP="00212E94">
      <w:pPr>
        <w:rPr>
          <w:i/>
          <w:sz w:val="16"/>
        </w:rPr>
      </w:pPr>
    </w:p>
    <w:sectPr w:rsidR="00125DC7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69" w:rsidRDefault="00853C69" w:rsidP="00831F7E">
      <w:pPr>
        <w:spacing w:after="0" w:line="240" w:lineRule="auto"/>
      </w:pPr>
      <w:r>
        <w:separator/>
      </w:r>
    </w:p>
  </w:endnote>
  <w:endnote w:type="continuationSeparator" w:id="0">
    <w:p w:rsidR="00853C69" w:rsidRDefault="00853C6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69" w:rsidRDefault="00853C69" w:rsidP="00831F7E">
      <w:pPr>
        <w:spacing w:after="0" w:line="240" w:lineRule="auto"/>
      </w:pPr>
      <w:r>
        <w:separator/>
      </w:r>
    </w:p>
  </w:footnote>
  <w:footnote w:type="continuationSeparator" w:id="0">
    <w:p w:rsidR="00853C69" w:rsidRDefault="00853C6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00051"/>
    <w:rsid w:val="000042F9"/>
    <w:rsid w:val="00017BB7"/>
    <w:rsid w:val="0003322C"/>
    <w:rsid w:val="000473B9"/>
    <w:rsid w:val="0006699A"/>
    <w:rsid w:val="00077A68"/>
    <w:rsid w:val="00094BAF"/>
    <w:rsid w:val="000B6193"/>
    <w:rsid w:val="000C70C7"/>
    <w:rsid w:val="000D0701"/>
    <w:rsid w:val="000D27C8"/>
    <w:rsid w:val="000D5483"/>
    <w:rsid w:val="000D76A0"/>
    <w:rsid w:val="000F14EB"/>
    <w:rsid w:val="000F3AE0"/>
    <w:rsid w:val="001025F1"/>
    <w:rsid w:val="00113EC1"/>
    <w:rsid w:val="00115B5F"/>
    <w:rsid w:val="00120308"/>
    <w:rsid w:val="00121462"/>
    <w:rsid w:val="00125356"/>
    <w:rsid w:val="00125DC7"/>
    <w:rsid w:val="00135926"/>
    <w:rsid w:val="00145F76"/>
    <w:rsid w:val="0015123E"/>
    <w:rsid w:val="00153BBB"/>
    <w:rsid w:val="00155BA4"/>
    <w:rsid w:val="001573F0"/>
    <w:rsid w:val="001900A0"/>
    <w:rsid w:val="00191343"/>
    <w:rsid w:val="00195B59"/>
    <w:rsid w:val="001A5139"/>
    <w:rsid w:val="001E7A94"/>
    <w:rsid w:val="001F5482"/>
    <w:rsid w:val="001F5B4A"/>
    <w:rsid w:val="00212E94"/>
    <w:rsid w:val="0021498C"/>
    <w:rsid w:val="00220D06"/>
    <w:rsid w:val="002315CE"/>
    <w:rsid w:val="00244BBA"/>
    <w:rsid w:val="00275DFE"/>
    <w:rsid w:val="00283259"/>
    <w:rsid w:val="002875AE"/>
    <w:rsid w:val="00294FFE"/>
    <w:rsid w:val="00296300"/>
    <w:rsid w:val="002A3861"/>
    <w:rsid w:val="002B6AC4"/>
    <w:rsid w:val="002E08B6"/>
    <w:rsid w:val="002F2DAB"/>
    <w:rsid w:val="00354265"/>
    <w:rsid w:val="0035529E"/>
    <w:rsid w:val="0038034B"/>
    <w:rsid w:val="00393FB9"/>
    <w:rsid w:val="003959FA"/>
    <w:rsid w:val="003968A1"/>
    <w:rsid w:val="003978F6"/>
    <w:rsid w:val="003A312E"/>
    <w:rsid w:val="003B2B09"/>
    <w:rsid w:val="003C3FD5"/>
    <w:rsid w:val="003F0907"/>
    <w:rsid w:val="003F1857"/>
    <w:rsid w:val="00415510"/>
    <w:rsid w:val="004840BF"/>
    <w:rsid w:val="00485EB9"/>
    <w:rsid w:val="004A4956"/>
    <w:rsid w:val="004B17E0"/>
    <w:rsid w:val="004C655C"/>
    <w:rsid w:val="004D73DA"/>
    <w:rsid w:val="004E1777"/>
    <w:rsid w:val="00507023"/>
    <w:rsid w:val="005132E8"/>
    <w:rsid w:val="005274FD"/>
    <w:rsid w:val="00532195"/>
    <w:rsid w:val="00541F08"/>
    <w:rsid w:val="00542487"/>
    <w:rsid w:val="00544338"/>
    <w:rsid w:val="005461F3"/>
    <w:rsid w:val="005478E1"/>
    <w:rsid w:val="00556712"/>
    <w:rsid w:val="00557ED2"/>
    <w:rsid w:val="00571D3D"/>
    <w:rsid w:val="00573193"/>
    <w:rsid w:val="005732E8"/>
    <w:rsid w:val="005739F5"/>
    <w:rsid w:val="005868EB"/>
    <w:rsid w:val="005A4501"/>
    <w:rsid w:val="005A6D14"/>
    <w:rsid w:val="005C462C"/>
    <w:rsid w:val="005C6958"/>
    <w:rsid w:val="005D5A2D"/>
    <w:rsid w:val="005D6B0E"/>
    <w:rsid w:val="005E58EB"/>
    <w:rsid w:val="006235EC"/>
    <w:rsid w:val="00640878"/>
    <w:rsid w:val="00650F82"/>
    <w:rsid w:val="00662A87"/>
    <w:rsid w:val="00663511"/>
    <w:rsid w:val="00663E7F"/>
    <w:rsid w:val="006714ED"/>
    <w:rsid w:val="00672F15"/>
    <w:rsid w:val="0068296C"/>
    <w:rsid w:val="0068316A"/>
    <w:rsid w:val="00687B8E"/>
    <w:rsid w:val="00697266"/>
    <w:rsid w:val="006B4F4E"/>
    <w:rsid w:val="006C4E80"/>
    <w:rsid w:val="006D04CE"/>
    <w:rsid w:val="006E0181"/>
    <w:rsid w:val="006E48D8"/>
    <w:rsid w:val="006F0539"/>
    <w:rsid w:val="00700C4B"/>
    <w:rsid w:val="007031DE"/>
    <w:rsid w:val="00741539"/>
    <w:rsid w:val="00756096"/>
    <w:rsid w:val="00762157"/>
    <w:rsid w:val="00774434"/>
    <w:rsid w:val="00775E30"/>
    <w:rsid w:val="00794ACD"/>
    <w:rsid w:val="007A6B74"/>
    <w:rsid w:val="007B133C"/>
    <w:rsid w:val="007D7B58"/>
    <w:rsid w:val="007E1B4E"/>
    <w:rsid w:val="007E57AF"/>
    <w:rsid w:val="00803C8A"/>
    <w:rsid w:val="00831976"/>
    <w:rsid w:val="00831F7E"/>
    <w:rsid w:val="008373B2"/>
    <w:rsid w:val="00853C69"/>
    <w:rsid w:val="00865183"/>
    <w:rsid w:val="008823BE"/>
    <w:rsid w:val="008B03B5"/>
    <w:rsid w:val="008C7542"/>
    <w:rsid w:val="008D1CEE"/>
    <w:rsid w:val="008D3779"/>
    <w:rsid w:val="008E3475"/>
    <w:rsid w:val="008F60A0"/>
    <w:rsid w:val="0090469D"/>
    <w:rsid w:val="009109C2"/>
    <w:rsid w:val="009213DB"/>
    <w:rsid w:val="0095054C"/>
    <w:rsid w:val="00993555"/>
    <w:rsid w:val="009B06DF"/>
    <w:rsid w:val="009B17BA"/>
    <w:rsid w:val="009C363D"/>
    <w:rsid w:val="009E163A"/>
    <w:rsid w:val="009F50FA"/>
    <w:rsid w:val="00A00F82"/>
    <w:rsid w:val="00A11194"/>
    <w:rsid w:val="00A12826"/>
    <w:rsid w:val="00A208D4"/>
    <w:rsid w:val="00A465A0"/>
    <w:rsid w:val="00A53855"/>
    <w:rsid w:val="00A54029"/>
    <w:rsid w:val="00A57343"/>
    <w:rsid w:val="00A65F50"/>
    <w:rsid w:val="00A74FAF"/>
    <w:rsid w:val="00AA4922"/>
    <w:rsid w:val="00AB1D63"/>
    <w:rsid w:val="00AB52C1"/>
    <w:rsid w:val="00AC460A"/>
    <w:rsid w:val="00AD0FB7"/>
    <w:rsid w:val="00AD4A1C"/>
    <w:rsid w:val="00AD4ED4"/>
    <w:rsid w:val="00AD667C"/>
    <w:rsid w:val="00AF641E"/>
    <w:rsid w:val="00AF730C"/>
    <w:rsid w:val="00B1501F"/>
    <w:rsid w:val="00B40991"/>
    <w:rsid w:val="00B44A80"/>
    <w:rsid w:val="00B71E93"/>
    <w:rsid w:val="00B71F35"/>
    <w:rsid w:val="00BC00A9"/>
    <w:rsid w:val="00BD68DC"/>
    <w:rsid w:val="00BE28A4"/>
    <w:rsid w:val="00BF4795"/>
    <w:rsid w:val="00C12013"/>
    <w:rsid w:val="00C3208D"/>
    <w:rsid w:val="00C565AC"/>
    <w:rsid w:val="00CF6B86"/>
    <w:rsid w:val="00D017AC"/>
    <w:rsid w:val="00D20D47"/>
    <w:rsid w:val="00D22792"/>
    <w:rsid w:val="00D273F1"/>
    <w:rsid w:val="00D50738"/>
    <w:rsid w:val="00D832EE"/>
    <w:rsid w:val="00D92E6C"/>
    <w:rsid w:val="00DA1F68"/>
    <w:rsid w:val="00DB0FA4"/>
    <w:rsid w:val="00DC13B1"/>
    <w:rsid w:val="00DD5358"/>
    <w:rsid w:val="00DE50F9"/>
    <w:rsid w:val="00DF3242"/>
    <w:rsid w:val="00E01535"/>
    <w:rsid w:val="00E255C1"/>
    <w:rsid w:val="00E30C7A"/>
    <w:rsid w:val="00E56831"/>
    <w:rsid w:val="00E57798"/>
    <w:rsid w:val="00E6571B"/>
    <w:rsid w:val="00E664EA"/>
    <w:rsid w:val="00E71DF0"/>
    <w:rsid w:val="00E81D19"/>
    <w:rsid w:val="00EB3B96"/>
    <w:rsid w:val="00EC7AEF"/>
    <w:rsid w:val="00ED521E"/>
    <w:rsid w:val="00EE1430"/>
    <w:rsid w:val="00EE6061"/>
    <w:rsid w:val="00EF78FF"/>
    <w:rsid w:val="00F00212"/>
    <w:rsid w:val="00F03F5E"/>
    <w:rsid w:val="00F1128B"/>
    <w:rsid w:val="00F13C60"/>
    <w:rsid w:val="00F150E9"/>
    <w:rsid w:val="00F41B72"/>
    <w:rsid w:val="00F44230"/>
    <w:rsid w:val="00F542C1"/>
    <w:rsid w:val="00F8346D"/>
    <w:rsid w:val="00F86CE9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B1D6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7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B1D6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uarte@tlaquepaque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a.duarte@Tlaquepaque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duarte@Tlaquepaque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2017-11-14T17:42:00Z</dcterms:created>
  <dcterms:modified xsi:type="dcterms:W3CDTF">2018-02-28T20:30:00Z</dcterms:modified>
</cp:coreProperties>
</file>