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>SAN PEDRO TLAQUEPAQUE, JALISCO A 09 DE DICIEMBRE DE 2019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OFICIO NO.  0396/2019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E9082D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MTRO. RODRIGO ALBERTO REYES CARRANZA</w:t>
      </w:r>
    </w:p>
    <w:p w:rsidR="00E9082D" w:rsidRDefault="00E9082D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 LA UNIDAD DE TRANSPARENCIA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Por medio del presente, le envío un cordial saludo, así mismo aprovecho para dar contestación a la solicitud de la Dirección que dignamente representa, Oficio IF-148/2017, referente a la información del mes correspondiente a noviembre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de 2019,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814AD0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8"/>
        <w:gridCol w:w="1769"/>
        <w:gridCol w:w="1751"/>
        <w:gridCol w:w="1751"/>
        <w:gridCol w:w="1769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OCTUBRE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1,335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antemano muchas gracias.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JEFE DE LA OFICINA DE ENLACE</w:t>
      </w: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JEGH/AGM</w:t>
      </w:r>
    </w:p>
    <w:p w:rsidR="000F2F1B" w:rsidRPr="00E9082D" w:rsidRDefault="00E9082D" w:rsidP="00E9082D">
      <w:pPr>
        <w:tabs>
          <w:tab w:val="left" w:pos="0"/>
        </w:tabs>
        <w:ind w:hanging="567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C.c.p</w:t>
      </w:r>
      <w:proofErr w:type="spellEnd"/>
      <w:proofErr w:type="gramStart"/>
      <w:r>
        <w:rPr>
          <w:rFonts w:ascii="Arial" w:hAnsi="Arial" w:cs="Arial"/>
          <w:sz w:val="16"/>
          <w:szCs w:val="16"/>
          <w:lang w:val="en-US"/>
        </w:rPr>
        <w:t>.-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archivo</w:t>
      </w:r>
      <w:proofErr w:type="spellEnd"/>
    </w:p>
    <w:sectPr w:rsidR="000F2F1B" w:rsidRPr="00E9082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7197B"/>
    <w:rsid w:val="00072A5E"/>
    <w:rsid w:val="000F2F1B"/>
    <w:rsid w:val="0011204C"/>
    <w:rsid w:val="00142B18"/>
    <w:rsid w:val="00336138"/>
    <w:rsid w:val="00365DEE"/>
    <w:rsid w:val="0037199B"/>
    <w:rsid w:val="00374B0B"/>
    <w:rsid w:val="00387B24"/>
    <w:rsid w:val="003A53CD"/>
    <w:rsid w:val="003A57CA"/>
    <w:rsid w:val="003D4890"/>
    <w:rsid w:val="0048016F"/>
    <w:rsid w:val="0056206C"/>
    <w:rsid w:val="005B46FE"/>
    <w:rsid w:val="00673869"/>
    <w:rsid w:val="006A37D1"/>
    <w:rsid w:val="0071146F"/>
    <w:rsid w:val="00711B41"/>
    <w:rsid w:val="00713BB1"/>
    <w:rsid w:val="00713E8B"/>
    <w:rsid w:val="007D0B73"/>
    <w:rsid w:val="00814AD0"/>
    <w:rsid w:val="008312FC"/>
    <w:rsid w:val="00840C5B"/>
    <w:rsid w:val="00847402"/>
    <w:rsid w:val="00856897"/>
    <w:rsid w:val="00864764"/>
    <w:rsid w:val="008C7825"/>
    <w:rsid w:val="008D7FC5"/>
    <w:rsid w:val="009C197E"/>
    <w:rsid w:val="00AE1F99"/>
    <w:rsid w:val="00B05E50"/>
    <w:rsid w:val="00B74982"/>
    <w:rsid w:val="00C95F0E"/>
    <w:rsid w:val="00D031C9"/>
    <w:rsid w:val="00D04FC4"/>
    <w:rsid w:val="00DE1170"/>
    <w:rsid w:val="00DF08F0"/>
    <w:rsid w:val="00DF240F"/>
    <w:rsid w:val="00E6128F"/>
    <w:rsid w:val="00E757CB"/>
    <w:rsid w:val="00E9082D"/>
    <w:rsid w:val="00EA35D3"/>
    <w:rsid w:val="00EB083A"/>
    <w:rsid w:val="00ED6C4C"/>
    <w:rsid w:val="00EE3631"/>
    <w:rsid w:val="00F073B8"/>
    <w:rsid w:val="00F44C22"/>
    <w:rsid w:val="00F47A47"/>
    <w:rsid w:val="00F918C5"/>
    <w:rsid w:val="00FB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Jesus Enrique Gutierrez Huante</cp:lastModifiedBy>
  <cp:revision>2</cp:revision>
  <cp:lastPrinted>2019-12-09T19:16:00Z</cp:lastPrinted>
  <dcterms:created xsi:type="dcterms:W3CDTF">2020-01-08T16:48:00Z</dcterms:created>
  <dcterms:modified xsi:type="dcterms:W3CDTF">2020-01-08T16:48:00Z</dcterms:modified>
</cp:coreProperties>
</file>