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DA" w:rsidRPr="0031188B" w:rsidRDefault="009464DA" w:rsidP="009464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Reporte Septiembre 2018 </w:t>
      </w:r>
      <w:r>
        <w:rPr>
          <w:rFonts w:ascii="Arial" w:hAnsi="Arial" w:cs="Arial"/>
          <w:b/>
          <w:sz w:val="24"/>
          <w:szCs w:val="24"/>
        </w:rPr>
        <w:br/>
        <w:t>Cierre al día 14</w:t>
      </w:r>
    </w:p>
    <w:p w:rsidR="009464DA" w:rsidRPr="0031188B" w:rsidRDefault="009464DA" w:rsidP="009464DA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021"/>
      </w:tblGrid>
      <w:tr w:rsidR="009464DA" w:rsidRPr="00094D35" w:rsidTr="00CB6AFA">
        <w:tc>
          <w:tcPr>
            <w:tcW w:w="8828" w:type="dxa"/>
            <w:gridSpan w:val="3"/>
          </w:tcPr>
          <w:p w:rsidR="009464DA" w:rsidRPr="00094D35" w:rsidRDefault="009464DA" w:rsidP="00CB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Retroexcavadora 489</w:t>
            </w:r>
          </w:p>
        </w:tc>
      </w:tr>
      <w:tr w:rsidR="0031053E" w:rsidRPr="00094D35" w:rsidTr="0096075A">
        <w:tc>
          <w:tcPr>
            <w:tcW w:w="8828" w:type="dxa"/>
            <w:gridSpan w:val="3"/>
          </w:tcPr>
          <w:p w:rsidR="0031053E" w:rsidRPr="00094D35" w:rsidRDefault="0031053E" w:rsidP="00CB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Potrero Las Pomas de Santa anta Tepetitlán</w:t>
            </w:r>
          </w:p>
        </w:tc>
      </w:tr>
      <w:tr w:rsidR="0031053E" w:rsidRPr="00094D35" w:rsidTr="0031053E">
        <w:trPr>
          <w:trHeight w:val="518"/>
        </w:trPr>
        <w:tc>
          <w:tcPr>
            <w:tcW w:w="8828" w:type="dxa"/>
            <w:gridSpan w:val="3"/>
          </w:tcPr>
          <w:p w:rsidR="0031053E" w:rsidRPr="001A20D9" w:rsidRDefault="0031053E" w:rsidP="00310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extrajeron 112 m3 de azolve en 150 m lineales de drenes parcelarios.</w:t>
            </w:r>
          </w:p>
        </w:tc>
      </w:tr>
      <w:tr w:rsidR="0031053E" w:rsidRPr="00094D35" w:rsidTr="00090197">
        <w:trPr>
          <w:trHeight w:val="516"/>
        </w:trPr>
        <w:tc>
          <w:tcPr>
            <w:tcW w:w="8828" w:type="dxa"/>
            <w:gridSpan w:val="3"/>
          </w:tcPr>
          <w:p w:rsidR="0031053E" w:rsidRDefault="0031053E" w:rsidP="00310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Extensión de 30 viajes de tierra (420 m3) para la rehabilitación de vialidad rural.</w:t>
            </w:r>
          </w:p>
        </w:tc>
      </w:tr>
      <w:tr w:rsidR="0031053E" w:rsidRPr="00094D35" w:rsidTr="00090197">
        <w:trPr>
          <w:trHeight w:val="516"/>
        </w:trPr>
        <w:tc>
          <w:tcPr>
            <w:tcW w:w="8828" w:type="dxa"/>
            <w:gridSpan w:val="3"/>
          </w:tcPr>
          <w:p w:rsidR="0031053E" w:rsidRDefault="0031053E" w:rsidP="00310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Excavación para instalación de tubería de riego (150 m de largo X 0.80 de ancho X 1.20 de profundidad).</w:t>
            </w:r>
          </w:p>
        </w:tc>
      </w:tr>
      <w:tr w:rsidR="009464DA" w:rsidRPr="00094D35" w:rsidTr="00CB6AFA">
        <w:tc>
          <w:tcPr>
            <w:tcW w:w="8828" w:type="dxa"/>
            <w:gridSpan w:val="3"/>
          </w:tcPr>
          <w:p w:rsidR="009464DA" w:rsidRDefault="009464DA" w:rsidP="00CB6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4DA" w:rsidRPr="00094D35" w:rsidTr="00CB6AFA">
        <w:tc>
          <w:tcPr>
            <w:tcW w:w="8828" w:type="dxa"/>
            <w:gridSpan w:val="3"/>
          </w:tcPr>
          <w:p w:rsidR="009464DA" w:rsidRPr="00094D35" w:rsidRDefault="002A12D3" w:rsidP="00CB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488</w:t>
            </w:r>
          </w:p>
        </w:tc>
      </w:tr>
      <w:tr w:rsidR="00DC1C2D" w:rsidRPr="00094D35" w:rsidTr="00DC1C2D">
        <w:trPr>
          <w:trHeight w:val="305"/>
        </w:trPr>
        <w:tc>
          <w:tcPr>
            <w:tcW w:w="2830" w:type="dxa"/>
          </w:tcPr>
          <w:p w:rsidR="00DC1C2D" w:rsidRDefault="00DC1C2D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</w:t>
            </w:r>
          </w:p>
          <w:p w:rsidR="00DC1C2D" w:rsidRDefault="00DC1C2D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Nivelación de 3,800 m2 en 500 m lineales de vialidades rurales.</w:t>
            </w:r>
          </w:p>
        </w:tc>
        <w:tc>
          <w:tcPr>
            <w:tcW w:w="2977" w:type="dxa"/>
          </w:tcPr>
          <w:p w:rsidR="00DC1C2D" w:rsidRDefault="00DC1C2D" w:rsidP="00310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Las Pomas</w:t>
            </w:r>
          </w:p>
          <w:p w:rsidR="00DC1C2D" w:rsidRPr="00614125" w:rsidRDefault="00DC1C2D" w:rsidP="00310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Nivelación de 5,000 m2 en 500 m lineales de vialidades rurales.</w:t>
            </w:r>
          </w:p>
        </w:tc>
        <w:tc>
          <w:tcPr>
            <w:tcW w:w="3021" w:type="dxa"/>
            <w:vMerge w:val="restart"/>
          </w:tcPr>
          <w:p w:rsidR="00DC1C2D" w:rsidRDefault="00DC1C2D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Calerilla</w:t>
            </w:r>
          </w:p>
          <w:p w:rsidR="00DC1C2D" w:rsidRPr="00614125" w:rsidRDefault="00DC1C2D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Nivelación de 1,600 m2 en 200 m lineales de vialidades rurales.</w:t>
            </w:r>
          </w:p>
        </w:tc>
      </w:tr>
      <w:tr w:rsidR="00DC1C2D" w:rsidRPr="00094D35" w:rsidTr="00DC1C2D">
        <w:trPr>
          <w:trHeight w:val="305"/>
        </w:trPr>
        <w:tc>
          <w:tcPr>
            <w:tcW w:w="2830" w:type="dxa"/>
          </w:tcPr>
          <w:p w:rsidR="00DC1C2D" w:rsidRDefault="00DC1C2D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Conformación de cunetas en la vialidad rural La Loma</w:t>
            </w:r>
          </w:p>
        </w:tc>
        <w:tc>
          <w:tcPr>
            <w:tcW w:w="2977" w:type="dxa"/>
          </w:tcPr>
          <w:p w:rsidR="00DC1C2D" w:rsidRDefault="00DC1C2D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Extensión de 31 viajes de tierra (434 m3) para la rehabilitación de vialidades rurales.</w:t>
            </w:r>
          </w:p>
        </w:tc>
        <w:tc>
          <w:tcPr>
            <w:tcW w:w="3021" w:type="dxa"/>
            <w:vMerge/>
          </w:tcPr>
          <w:p w:rsidR="00DC1C2D" w:rsidRPr="00614125" w:rsidRDefault="00DC1C2D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4DA" w:rsidRPr="00094D35" w:rsidTr="00CB6AFA">
        <w:trPr>
          <w:trHeight w:val="244"/>
        </w:trPr>
        <w:tc>
          <w:tcPr>
            <w:tcW w:w="8828" w:type="dxa"/>
            <w:gridSpan w:val="3"/>
          </w:tcPr>
          <w:p w:rsidR="009464DA" w:rsidRPr="00FB322D" w:rsidRDefault="009464DA" w:rsidP="00946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22D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r w:rsidR="00DC1C2D">
              <w:rPr>
                <w:rFonts w:ascii="Arial" w:hAnsi="Arial" w:cs="Arial"/>
                <w:b/>
                <w:sz w:val="20"/>
                <w:szCs w:val="20"/>
              </w:rPr>
              <w:t>Rehabilitación de 10,400 m2 en 1,200 m lineales (1.2 Km)</w:t>
            </w:r>
          </w:p>
        </w:tc>
      </w:tr>
      <w:tr w:rsidR="009464DA" w:rsidRPr="00094D35" w:rsidTr="00CB6AFA">
        <w:tc>
          <w:tcPr>
            <w:tcW w:w="8828" w:type="dxa"/>
            <w:gridSpan w:val="3"/>
          </w:tcPr>
          <w:p w:rsidR="009464DA" w:rsidRPr="00094D35" w:rsidRDefault="009464DA" w:rsidP="00CB6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4DA" w:rsidRPr="00094D35" w:rsidTr="00CB6AFA">
        <w:tc>
          <w:tcPr>
            <w:tcW w:w="8828" w:type="dxa"/>
            <w:gridSpan w:val="3"/>
          </w:tcPr>
          <w:p w:rsidR="009464DA" w:rsidRPr="00094D35" w:rsidRDefault="009464DA" w:rsidP="00CB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Excavadora 217</w:t>
            </w:r>
          </w:p>
        </w:tc>
      </w:tr>
      <w:tr w:rsidR="009464DA" w:rsidRPr="00094D35" w:rsidTr="00CB6AFA">
        <w:tc>
          <w:tcPr>
            <w:tcW w:w="8828" w:type="dxa"/>
            <w:gridSpan w:val="3"/>
          </w:tcPr>
          <w:p w:rsidR="009464DA" w:rsidRPr="00094D35" w:rsidRDefault="009464DA" w:rsidP="00CB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 (Arroyo Seco)</w:t>
            </w:r>
          </w:p>
        </w:tc>
      </w:tr>
      <w:tr w:rsidR="009464DA" w:rsidRPr="00094D35" w:rsidTr="00CB6AFA">
        <w:tc>
          <w:tcPr>
            <w:tcW w:w="8828" w:type="dxa"/>
            <w:gridSpan w:val="3"/>
          </w:tcPr>
          <w:p w:rsidR="009464DA" w:rsidRPr="00094D35" w:rsidRDefault="009464DA" w:rsidP="00CB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Revisión y reforzamiento de puntos </w:t>
            </w:r>
            <w:r w:rsidR="00DC1C2D">
              <w:rPr>
                <w:rFonts w:ascii="Arial" w:hAnsi="Arial" w:cs="Arial"/>
                <w:b/>
                <w:sz w:val="20"/>
                <w:szCs w:val="20"/>
              </w:rPr>
              <w:t>específicos en 1,210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 lineales</w:t>
            </w:r>
          </w:p>
        </w:tc>
      </w:tr>
    </w:tbl>
    <w:p w:rsidR="009464DA" w:rsidRPr="00DC1C2D" w:rsidRDefault="009464DA" w:rsidP="009464D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64DA" w:rsidRPr="00FB322D" w:rsidTr="00CB6AFA">
        <w:tc>
          <w:tcPr>
            <w:tcW w:w="8828" w:type="dxa"/>
            <w:gridSpan w:val="3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22D">
              <w:rPr>
                <w:rFonts w:ascii="Arial" w:hAnsi="Arial" w:cs="Arial"/>
                <w:b/>
                <w:sz w:val="20"/>
                <w:szCs w:val="20"/>
              </w:rPr>
              <w:t>Programa de Mejoramiento de suelos Agrícolas 2018</w:t>
            </w:r>
          </w:p>
        </w:tc>
      </w:tr>
      <w:tr w:rsidR="009464DA" w:rsidRPr="00FB322D" w:rsidTr="00CB6AFA">
        <w:tc>
          <w:tcPr>
            <w:tcW w:w="8828" w:type="dxa"/>
            <w:gridSpan w:val="3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Distribución de composta a los Núcleos Agrarios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</w:t>
            </w:r>
          </w:p>
        </w:tc>
        <w:tc>
          <w:tcPr>
            <w:tcW w:w="2943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de viajes</w:t>
            </w:r>
          </w:p>
        </w:tc>
        <w:tc>
          <w:tcPr>
            <w:tcW w:w="2943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de Toneladas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</w:tc>
        <w:tc>
          <w:tcPr>
            <w:tcW w:w="2943" w:type="dxa"/>
          </w:tcPr>
          <w:p w:rsidR="009464DA" w:rsidRPr="00FB322D" w:rsidRDefault="00192778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Las Pomas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Calerilla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Ranchitos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3" w:type="dxa"/>
          </w:tcPr>
          <w:p w:rsidR="009464DA" w:rsidRPr="00FB322D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Pr="00FB322D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Martín de las Flores</w:t>
            </w:r>
          </w:p>
        </w:tc>
        <w:tc>
          <w:tcPr>
            <w:tcW w:w="2943" w:type="dxa"/>
          </w:tcPr>
          <w:p w:rsidR="009464DA" w:rsidRPr="00FB322D" w:rsidRDefault="00DC1C2D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3" w:type="dxa"/>
          </w:tcPr>
          <w:p w:rsidR="009464DA" w:rsidRPr="00FB322D" w:rsidRDefault="00DC1C2D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64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</w:tc>
        <w:tc>
          <w:tcPr>
            <w:tcW w:w="2943" w:type="dxa"/>
          </w:tcPr>
          <w:p w:rsidR="009464DA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9464DA" w:rsidRDefault="009464DA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Puestos</w:t>
            </w:r>
          </w:p>
        </w:tc>
        <w:tc>
          <w:tcPr>
            <w:tcW w:w="2943" w:type="dxa"/>
          </w:tcPr>
          <w:p w:rsidR="009464DA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9464DA" w:rsidRDefault="00192778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464DA" w:rsidRPr="00FB322D" w:rsidTr="00CB6AFA">
        <w:tc>
          <w:tcPr>
            <w:tcW w:w="2942" w:type="dxa"/>
          </w:tcPr>
          <w:p w:rsidR="009464DA" w:rsidRDefault="009464DA" w:rsidP="00CB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Asociación Ganadera Local</w:t>
            </w:r>
          </w:p>
        </w:tc>
        <w:tc>
          <w:tcPr>
            <w:tcW w:w="2943" w:type="dxa"/>
          </w:tcPr>
          <w:p w:rsidR="009464DA" w:rsidRDefault="00DC1C2D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3" w:type="dxa"/>
          </w:tcPr>
          <w:p w:rsidR="009464DA" w:rsidRDefault="00DC1C2D" w:rsidP="0094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64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64DA" w:rsidRPr="00FB322D" w:rsidTr="00CB6AFA">
        <w:tc>
          <w:tcPr>
            <w:tcW w:w="8828" w:type="dxa"/>
            <w:gridSpan w:val="3"/>
          </w:tcPr>
          <w:p w:rsidR="009464DA" w:rsidRPr="00A922D4" w:rsidRDefault="009464DA" w:rsidP="00946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D4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r w:rsidR="00192778">
              <w:rPr>
                <w:rFonts w:ascii="Arial" w:hAnsi="Arial" w:cs="Arial"/>
                <w:b/>
                <w:sz w:val="20"/>
                <w:szCs w:val="20"/>
              </w:rPr>
              <w:t>17 viajes (255 toneladas)</w:t>
            </w:r>
            <w:r w:rsidR="00175903">
              <w:rPr>
                <w:rFonts w:ascii="Arial" w:hAnsi="Arial" w:cs="Arial"/>
                <w:b/>
                <w:sz w:val="20"/>
                <w:szCs w:val="20"/>
              </w:rPr>
              <w:t xml:space="preserve"> * Con cierre al día 14 de Septiembre.</w:t>
            </w:r>
            <w:bookmarkStart w:id="0" w:name="_GoBack"/>
            <w:bookmarkEnd w:id="0"/>
          </w:p>
        </w:tc>
      </w:tr>
    </w:tbl>
    <w:p w:rsidR="009464DA" w:rsidRPr="00FB322D" w:rsidRDefault="009464DA" w:rsidP="009464DA">
      <w:pPr>
        <w:rPr>
          <w:rFonts w:ascii="Arial" w:hAnsi="Arial" w:cs="Arial"/>
          <w:sz w:val="24"/>
          <w:szCs w:val="24"/>
        </w:rPr>
      </w:pPr>
    </w:p>
    <w:p w:rsidR="009464DA" w:rsidRDefault="009464DA" w:rsidP="009464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de Desarrollo Rural Sustentable</w:t>
      </w:r>
    </w:p>
    <w:p w:rsidR="009464DA" w:rsidRDefault="009464DA" w:rsidP="009464DA">
      <w:pPr>
        <w:jc w:val="both"/>
        <w:rPr>
          <w:rFonts w:ascii="Arial" w:hAnsi="Arial" w:cs="Arial"/>
          <w:sz w:val="24"/>
          <w:szCs w:val="24"/>
        </w:rPr>
      </w:pPr>
      <w:r w:rsidRPr="0099095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rganización y desarrollo de la 7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reunión ordinaria</w:t>
      </w:r>
      <w:r w:rsidRPr="0099095C">
        <w:rPr>
          <w:rFonts w:ascii="Arial" w:hAnsi="Arial" w:cs="Arial"/>
          <w:sz w:val="24"/>
          <w:szCs w:val="24"/>
        </w:rPr>
        <w:t xml:space="preserve"> del Consejo Municipal de Desarrollo Rural Sustentable de San Pedro Tlaquepaque, </w:t>
      </w:r>
      <w:r>
        <w:rPr>
          <w:rFonts w:ascii="Arial" w:hAnsi="Arial" w:cs="Arial"/>
          <w:sz w:val="24"/>
          <w:szCs w:val="24"/>
        </w:rPr>
        <w:t xml:space="preserve">en la Casa Ejidal de San Martín de las Flores, el 11 de septiembre a las 12:30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64DA" w:rsidRPr="0099095C" w:rsidRDefault="009464DA" w:rsidP="009464DA">
      <w:pPr>
        <w:rPr>
          <w:rFonts w:ascii="Arial" w:hAnsi="Arial" w:cs="Arial"/>
          <w:sz w:val="24"/>
          <w:szCs w:val="24"/>
        </w:rPr>
      </w:pPr>
    </w:p>
    <w:p w:rsidR="009464DA" w:rsidRPr="001B1F09" w:rsidRDefault="009464DA" w:rsidP="009464DA">
      <w:pPr>
        <w:rPr>
          <w:rFonts w:ascii="Arial" w:hAnsi="Arial" w:cs="Arial"/>
          <w:b/>
          <w:sz w:val="24"/>
          <w:szCs w:val="24"/>
        </w:rPr>
      </w:pPr>
      <w:r w:rsidRPr="001B1F09">
        <w:rPr>
          <w:rFonts w:ascii="Arial" w:hAnsi="Arial" w:cs="Arial"/>
          <w:b/>
          <w:sz w:val="24"/>
          <w:szCs w:val="24"/>
        </w:rPr>
        <w:lastRenderedPageBreak/>
        <w:t>Consejo Distrital</w:t>
      </w:r>
    </w:p>
    <w:p w:rsidR="009464DA" w:rsidRDefault="009464DA" w:rsidP="009464DA">
      <w:pPr>
        <w:jc w:val="both"/>
        <w:rPr>
          <w:rFonts w:ascii="Arial" w:hAnsi="Arial" w:cs="Arial"/>
          <w:sz w:val="24"/>
          <w:szCs w:val="24"/>
        </w:rPr>
      </w:pPr>
      <w:r w:rsidRPr="001B1F0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istencia y participación en la Reunión O</w:t>
      </w:r>
      <w:r w:rsidRPr="001B1F09">
        <w:rPr>
          <w:rFonts w:ascii="Arial" w:hAnsi="Arial" w:cs="Arial"/>
          <w:sz w:val="24"/>
          <w:szCs w:val="24"/>
        </w:rPr>
        <w:t>rdinaria del Consejo Distrital de Desarrollo Rural Sustentable del Distrito 01, con el reporte de la Vida Organizativa del Consejo Municipal de Desarrollo Rural Suste</w:t>
      </w:r>
      <w:r>
        <w:rPr>
          <w:rFonts w:ascii="Arial" w:hAnsi="Arial" w:cs="Arial"/>
          <w:sz w:val="24"/>
          <w:szCs w:val="24"/>
        </w:rPr>
        <w:t xml:space="preserve">ntable de San Pedro Tlaquepaque, celebrada el 20 de septiembre de 2018, en el Parque Acuático </w:t>
      </w:r>
      <w:proofErr w:type="spellStart"/>
      <w:r>
        <w:rPr>
          <w:rFonts w:ascii="Arial" w:hAnsi="Arial" w:cs="Arial"/>
          <w:sz w:val="24"/>
          <w:szCs w:val="24"/>
        </w:rPr>
        <w:t>Chimulco</w:t>
      </w:r>
      <w:proofErr w:type="spellEnd"/>
      <w:r>
        <w:rPr>
          <w:rFonts w:ascii="Arial" w:hAnsi="Arial" w:cs="Arial"/>
          <w:sz w:val="24"/>
          <w:szCs w:val="24"/>
        </w:rPr>
        <w:t>, en el municipio de Villa Corona.</w:t>
      </w:r>
    </w:p>
    <w:p w:rsidR="009464DA" w:rsidRDefault="009464DA" w:rsidP="009464DA">
      <w:pPr>
        <w:jc w:val="both"/>
        <w:rPr>
          <w:rFonts w:ascii="Arial" w:hAnsi="Arial" w:cs="Arial"/>
          <w:sz w:val="24"/>
          <w:szCs w:val="24"/>
        </w:rPr>
      </w:pPr>
    </w:p>
    <w:p w:rsidR="009464DA" w:rsidRDefault="009464DA" w:rsidP="009464DA">
      <w:pPr>
        <w:jc w:val="both"/>
        <w:rPr>
          <w:rFonts w:ascii="Arial" w:hAnsi="Arial" w:cs="Arial"/>
          <w:sz w:val="24"/>
          <w:szCs w:val="24"/>
        </w:rPr>
      </w:pPr>
    </w:p>
    <w:p w:rsidR="009464DA" w:rsidRPr="00B913AB" w:rsidRDefault="009464DA" w:rsidP="009464DA">
      <w:pPr>
        <w:jc w:val="both"/>
        <w:rPr>
          <w:rFonts w:ascii="Arial" w:hAnsi="Arial" w:cs="Arial"/>
          <w:sz w:val="24"/>
          <w:szCs w:val="24"/>
        </w:rPr>
      </w:pPr>
    </w:p>
    <w:p w:rsidR="009464DA" w:rsidRDefault="009464DA" w:rsidP="009464DA">
      <w:pPr>
        <w:jc w:val="center"/>
        <w:rPr>
          <w:rFonts w:ascii="Arial" w:hAnsi="Arial" w:cs="Arial"/>
          <w:b/>
          <w:sz w:val="24"/>
          <w:szCs w:val="24"/>
        </w:rPr>
      </w:pPr>
      <w:r w:rsidRPr="001B1F09">
        <w:rPr>
          <w:rFonts w:ascii="Arial" w:hAnsi="Arial" w:cs="Arial"/>
          <w:b/>
          <w:sz w:val="24"/>
          <w:szCs w:val="24"/>
        </w:rPr>
        <w:t>Unidades Cooperativas</w:t>
      </w:r>
    </w:p>
    <w:p w:rsidR="00B456C0" w:rsidRPr="00EF7BB6" w:rsidRDefault="00A54DDB" w:rsidP="009464DA">
      <w:pPr>
        <w:rPr>
          <w:rFonts w:ascii="Arial" w:hAnsi="Arial" w:cs="Arial"/>
          <w:b/>
          <w:sz w:val="24"/>
          <w:szCs w:val="24"/>
        </w:rPr>
      </w:pPr>
      <w:r w:rsidRPr="00EF7BB6">
        <w:rPr>
          <w:rFonts w:ascii="Arial" w:hAnsi="Arial" w:cs="Arial"/>
          <w:b/>
          <w:sz w:val="24"/>
          <w:szCs w:val="24"/>
        </w:rPr>
        <w:t>Centros de Gestión</w:t>
      </w:r>
    </w:p>
    <w:p w:rsidR="00A54DDB" w:rsidRDefault="00A54DDB" w:rsidP="009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la presentación en comercialización, para la Coordinación General de Desarrollo Económico y Combate a la Desigualdad.</w:t>
      </w:r>
    </w:p>
    <w:p w:rsidR="00EF7BB6" w:rsidRDefault="00EF7BB6" w:rsidP="009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en la Cámara de Comercio de Guadalajara.</w:t>
      </w:r>
    </w:p>
    <w:p w:rsidR="00EF7BB6" w:rsidRDefault="00EF7BB6" w:rsidP="009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en el Centro Universitario de Ciencias Biológicas y Agropecuarias de la Universidad de Guadalajara</w:t>
      </w:r>
    </w:p>
    <w:p w:rsidR="00EF7BB6" w:rsidRPr="00EF7BB6" w:rsidRDefault="00EF7BB6" w:rsidP="009464DA">
      <w:pPr>
        <w:rPr>
          <w:rFonts w:ascii="Arial" w:hAnsi="Arial" w:cs="Arial"/>
          <w:b/>
          <w:sz w:val="24"/>
          <w:szCs w:val="24"/>
        </w:rPr>
      </w:pPr>
      <w:r w:rsidRPr="00EF7BB6">
        <w:rPr>
          <w:rFonts w:ascii="Arial" w:hAnsi="Arial" w:cs="Arial"/>
          <w:b/>
          <w:sz w:val="24"/>
          <w:szCs w:val="24"/>
        </w:rPr>
        <w:t>Asistencia al Tercer Informe de Gobierno Municipal.</w:t>
      </w:r>
    </w:p>
    <w:p w:rsidR="00EF7BB6" w:rsidRPr="00EF7BB6" w:rsidRDefault="00EF7BB6" w:rsidP="009464DA">
      <w:pPr>
        <w:rPr>
          <w:rFonts w:ascii="Arial" w:hAnsi="Arial" w:cs="Arial"/>
          <w:b/>
          <w:sz w:val="24"/>
          <w:szCs w:val="24"/>
        </w:rPr>
      </w:pPr>
      <w:r w:rsidRPr="00EF7BB6">
        <w:rPr>
          <w:rFonts w:ascii="Arial" w:hAnsi="Arial" w:cs="Arial"/>
          <w:b/>
          <w:sz w:val="24"/>
          <w:szCs w:val="24"/>
        </w:rPr>
        <w:t>Asistencia y Participación en la Reunión del Consejo Municipal de Desarrollo Agropecuario y Combate a la Desigualdad.</w:t>
      </w:r>
    </w:p>
    <w:p w:rsidR="00A54DDB" w:rsidRPr="00A03B50" w:rsidRDefault="00A54DDB" w:rsidP="009464DA">
      <w:pPr>
        <w:rPr>
          <w:rFonts w:ascii="Arial" w:hAnsi="Arial" w:cs="Arial"/>
          <w:sz w:val="24"/>
          <w:szCs w:val="24"/>
        </w:rPr>
      </w:pPr>
    </w:p>
    <w:sectPr w:rsidR="00A54DDB" w:rsidRPr="00A03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DA"/>
    <w:rsid w:val="00175903"/>
    <w:rsid w:val="00192778"/>
    <w:rsid w:val="002A12D3"/>
    <w:rsid w:val="0031053E"/>
    <w:rsid w:val="009464DA"/>
    <w:rsid w:val="00A03B50"/>
    <w:rsid w:val="00A54DDB"/>
    <w:rsid w:val="00B456C0"/>
    <w:rsid w:val="00DC1C2D"/>
    <w:rsid w:val="00E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1EE1B-A091-4E0B-9C12-4B994DCA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6</cp:revision>
  <dcterms:created xsi:type="dcterms:W3CDTF">2018-09-19T18:32:00Z</dcterms:created>
  <dcterms:modified xsi:type="dcterms:W3CDTF">2018-09-26T16:31:00Z</dcterms:modified>
</cp:coreProperties>
</file>