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0E" w:rsidRPr="009A6240" w:rsidRDefault="00FA600E" w:rsidP="00FA600E">
      <w:pPr>
        <w:jc w:val="center"/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Reporte Octubre 2017</w:t>
      </w:r>
    </w:p>
    <w:p w:rsidR="00FA600E" w:rsidRPr="009A6240" w:rsidRDefault="00FA600E" w:rsidP="00FA600E">
      <w:pPr>
        <w:jc w:val="center"/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Dirección de Desarrollo Agropecuario</w:t>
      </w:r>
    </w:p>
    <w:p w:rsidR="008301BE" w:rsidRPr="009A6240" w:rsidRDefault="00FA600E">
      <w:pPr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Infraestructura Rural.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"/>
        <w:gridCol w:w="765"/>
        <w:gridCol w:w="1418"/>
        <w:gridCol w:w="24"/>
        <w:gridCol w:w="117"/>
        <w:gridCol w:w="1354"/>
        <w:gridCol w:w="736"/>
        <w:gridCol w:w="178"/>
        <w:gridCol w:w="2029"/>
      </w:tblGrid>
      <w:tr w:rsidR="00FA600E" w:rsidRPr="009A6240" w:rsidTr="00DA77E7">
        <w:tc>
          <w:tcPr>
            <w:tcW w:w="8828" w:type="dxa"/>
            <w:gridSpan w:val="10"/>
          </w:tcPr>
          <w:p w:rsidR="00FA600E" w:rsidRPr="009A6240" w:rsidRDefault="00FA600E" w:rsidP="00FA6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Retro excavadoras 594 - 489</w:t>
            </w:r>
          </w:p>
        </w:tc>
      </w:tr>
      <w:tr w:rsidR="00C51EC1" w:rsidRPr="009A6240" w:rsidTr="00072683">
        <w:tc>
          <w:tcPr>
            <w:tcW w:w="8828" w:type="dxa"/>
            <w:gridSpan w:val="10"/>
          </w:tcPr>
          <w:p w:rsidR="00C51EC1" w:rsidRPr="009A6240" w:rsidRDefault="00C51EC1" w:rsidP="00C51E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Carga de Materiales</w:t>
            </w:r>
          </w:p>
        </w:tc>
      </w:tr>
      <w:tr w:rsidR="00FA600E" w:rsidRPr="009A6240" w:rsidTr="00072683">
        <w:tc>
          <w:tcPr>
            <w:tcW w:w="8828" w:type="dxa"/>
            <w:gridSpan w:val="10"/>
          </w:tcPr>
          <w:p w:rsidR="00FA600E" w:rsidRPr="009A6240" w:rsidRDefault="00FA600E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Traslado de tubos para drenaje en la vialidad rural “Camino Los 2 Ejidos”</w:t>
            </w:r>
          </w:p>
        </w:tc>
      </w:tr>
      <w:tr w:rsidR="0042314D" w:rsidRPr="009A6240" w:rsidTr="008A6C09">
        <w:tc>
          <w:tcPr>
            <w:tcW w:w="2122" w:type="dxa"/>
          </w:tcPr>
          <w:p w:rsidR="0042314D" w:rsidRPr="009A6240" w:rsidRDefault="0042314D" w:rsidP="00FA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</w:tc>
        <w:tc>
          <w:tcPr>
            <w:tcW w:w="2409" w:type="dxa"/>
            <w:gridSpan w:val="5"/>
          </w:tcPr>
          <w:p w:rsidR="0042314D" w:rsidRPr="009A6240" w:rsidRDefault="0042314D" w:rsidP="00FA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Potrero Las Pomas</w:t>
            </w:r>
          </w:p>
        </w:tc>
        <w:tc>
          <w:tcPr>
            <w:tcW w:w="2268" w:type="dxa"/>
            <w:gridSpan w:val="3"/>
          </w:tcPr>
          <w:p w:rsidR="0042314D" w:rsidRPr="009A6240" w:rsidRDefault="0042314D" w:rsidP="00FA6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</w:tc>
        <w:tc>
          <w:tcPr>
            <w:tcW w:w="2029" w:type="dxa"/>
          </w:tcPr>
          <w:p w:rsidR="0042314D" w:rsidRPr="009A6240" w:rsidRDefault="0042314D" w:rsidP="00FA6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Hoyanco Las Juntitas</w:t>
            </w:r>
          </w:p>
        </w:tc>
      </w:tr>
      <w:tr w:rsidR="0042314D" w:rsidRPr="009A6240" w:rsidTr="008A6C09">
        <w:trPr>
          <w:trHeight w:val="150"/>
        </w:trPr>
        <w:tc>
          <w:tcPr>
            <w:tcW w:w="2122" w:type="dxa"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 xml:space="preserve">Carga de 7 viajes de tubos para drenaje </w:t>
            </w:r>
            <w:r w:rsidRPr="009A6240">
              <w:rPr>
                <w:rFonts w:ascii="Arial" w:hAnsi="Arial" w:cs="Arial"/>
                <w:sz w:val="18"/>
                <w:szCs w:val="18"/>
              </w:rPr>
              <w:br/>
              <w:t>(56 tubos)</w:t>
            </w:r>
          </w:p>
        </w:tc>
        <w:tc>
          <w:tcPr>
            <w:tcW w:w="2409" w:type="dxa"/>
            <w:gridSpan w:val="5"/>
            <w:vMerge w:val="restart"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Carga de 2 viajes de tubos para drenaje</w:t>
            </w:r>
            <w:r w:rsidRPr="009A6240">
              <w:rPr>
                <w:rFonts w:ascii="Arial" w:hAnsi="Arial" w:cs="Arial"/>
                <w:sz w:val="18"/>
                <w:szCs w:val="18"/>
              </w:rPr>
              <w:br/>
              <w:t>(16 tubos)</w:t>
            </w:r>
          </w:p>
        </w:tc>
        <w:tc>
          <w:tcPr>
            <w:tcW w:w="2268" w:type="dxa"/>
            <w:gridSpan w:val="3"/>
            <w:vMerge w:val="restart"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Amontonar tierra</w:t>
            </w:r>
            <w:r w:rsidRPr="009A6240">
              <w:rPr>
                <w:rFonts w:ascii="Arial" w:hAnsi="Arial" w:cs="Arial"/>
                <w:sz w:val="18"/>
                <w:szCs w:val="18"/>
              </w:rPr>
              <w:br/>
              <w:t>630 m3 de 45 viajes.</w:t>
            </w:r>
          </w:p>
        </w:tc>
        <w:tc>
          <w:tcPr>
            <w:tcW w:w="2029" w:type="dxa"/>
            <w:vMerge w:val="restart"/>
          </w:tcPr>
          <w:p w:rsidR="0042314D" w:rsidRPr="009A6240" w:rsidRDefault="008A6C09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Cargar 16 viajes de piedra (224 m3)</w:t>
            </w:r>
          </w:p>
          <w:p w:rsidR="008A6C09" w:rsidRPr="009A6240" w:rsidRDefault="008A6C09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Cargar 12 viajes e jal 168 m3)</w:t>
            </w:r>
          </w:p>
        </w:tc>
      </w:tr>
      <w:tr w:rsidR="0042314D" w:rsidRPr="009A6240" w:rsidTr="008A6C09">
        <w:trPr>
          <w:trHeight w:val="150"/>
        </w:trPr>
        <w:tc>
          <w:tcPr>
            <w:tcW w:w="2122" w:type="dxa"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61 viajes de tierra (854 m3m)</w:t>
            </w:r>
          </w:p>
        </w:tc>
        <w:tc>
          <w:tcPr>
            <w:tcW w:w="2409" w:type="dxa"/>
            <w:gridSpan w:val="5"/>
            <w:vMerge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EC1" w:rsidRPr="009A6240" w:rsidTr="00275CB1">
        <w:tc>
          <w:tcPr>
            <w:tcW w:w="8828" w:type="dxa"/>
            <w:gridSpan w:val="10"/>
          </w:tcPr>
          <w:p w:rsidR="008A6C09" w:rsidRPr="009A6240" w:rsidRDefault="008A6C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Se trabajaron 143 viajes con 1876 m3 y 72 tubos.</w:t>
            </w:r>
          </w:p>
        </w:tc>
      </w:tr>
      <w:tr w:rsidR="0042314D" w:rsidRPr="009A6240" w:rsidTr="00B921BE">
        <w:tc>
          <w:tcPr>
            <w:tcW w:w="8828" w:type="dxa"/>
            <w:gridSpan w:val="10"/>
          </w:tcPr>
          <w:p w:rsidR="0042314D" w:rsidRPr="009A6240" w:rsidRDefault="00423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1EC1" w:rsidRPr="009A6240" w:rsidTr="003C041B">
        <w:tc>
          <w:tcPr>
            <w:tcW w:w="8828" w:type="dxa"/>
            <w:gridSpan w:val="10"/>
          </w:tcPr>
          <w:p w:rsidR="00C51EC1" w:rsidRPr="009A6240" w:rsidRDefault="00C51EC1" w:rsidP="00C51E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 xml:space="preserve">Atención a contingencias </w:t>
            </w:r>
            <w:proofErr w:type="spellStart"/>
            <w:r w:rsidRPr="009A6240">
              <w:rPr>
                <w:rFonts w:ascii="Arial" w:hAnsi="Arial" w:cs="Arial"/>
                <w:b/>
                <w:sz w:val="18"/>
                <w:szCs w:val="18"/>
              </w:rPr>
              <w:t>Fracc</w:t>
            </w:r>
            <w:proofErr w:type="spellEnd"/>
            <w:r w:rsidRPr="009A6240">
              <w:rPr>
                <w:rFonts w:ascii="Arial" w:hAnsi="Arial" w:cs="Arial"/>
                <w:b/>
                <w:sz w:val="18"/>
                <w:szCs w:val="18"/>
              </w:rPr>
              <w:t>. Loreto en Santa Anita</w:t>
            </w:r>
          </w:p>
        </w:tc>
      </w:tr>
      <w:tr w:rsidR="00C51EC1" w:rsidRPr="009A6240" w:rsidTr="00C42100">
        <w:tc>
          <w:tcPr>
            <w:tcW w:w="8828" w:type="dxa"/>
            <w:gridSpan w:val="10"/>
          </w:tcPr>
          <w:p w:rsidR="00C51EC1" w:rsidRPr="009A6240" w:rsidRDefault="00C51EC1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 xml:space="preserve">Extracción de 248 m3 de azolve en </w:t>
            </w:r>
            <w:r w:rsidR="008A6C09" w:rsidRPr="009A6240">
              <w:rPr>
                <w:rFonts w:ascii="Arial" w:hAnsi="Arial" w:cs="Arial"/>
                <w:sz w:val="18"/>
                <w:szCs w:val="18"/>
              </w:rPr>
              <w:t xml:space="preserve">una distancia de </w:t>
            </w:r>
            <w:r w:rsidRPr="009A6240">
              <w:rPr>
                <w:rFonts w:ascii="Arial" w:hAnsi="Arial" w:cs="Arial"/>
                <w:sz w:val="18"/>
                <w:szCs w:val="18"/>
              </w:rPr>
              <w:t>310</w:t>
            </w:r>
            <w:r w:rsidR="008A6C09" w:rsidRPr="009A624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A6240">
              <w:rPr>
                <w:rFonts w:ascii="Arial" w:hAnsi="Arial" w:cs="Arial"/>
                <w:sz w:val="18"/>
                <w:szCs w:val="18"/>
              </w:rPr>
              <w:t xml:space="preserve"> del dren perimetral de Fraccionamiento.</w:t>
            </w:r>
          </w:p>
        </w:tc>
      </w:tr>
      <w:tr w:rsidR="0042314D" w:rsidRPr="009A6240" w:rsidTr="00F84E96">
        <w:tc>
          <w:tcPr>
            <w:tcW w:w="8828" w:type="dxa"/>
            <w:gridSpan w:val="10"/>
          </w:tcPr>
          <w:p w:rsidR="0042314D" w:rsidRPr="009A6240" w:rsidRDefault="004231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C09" w:rsidRPr="009A6240" w:rsidTr="00803783">
        <w:tc>
          <w:tcPr>
            <w:tcW w:w="8828" w:type="dxa"/>
            <w:gridSpan w:val="10"/>
          </w:tcPr>
          <w:p w:rsidR="008A6C09" w:rsidRPr="009A6240" w:rsidRDefault="008A6C09" w:rsidP="008A6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6240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9A6240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8A6C09" w:rsidRPr="009A6240" w:rsidTr="00FD0C36">
        <w:tc>
          <w:tcPr>
            <w:tcW w:w="4390" w:type="dxa"/>
            <w:gridSpan w:val="4"/>
          </w:tcPr>
          <w:p w:rsidR="008A6C09" w:rsidRPr="009A6240" w:rsidRDefault="008A6C09" w:rsidP="008A6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</w:tc>
        <w:tc>
          <w:tcPr>
            <w:tcW w:w="4438" w:type="dxa"/>
            <w:gridSpan w:val="6"/>
          </w:tcPr>
          <w:p w:rsidR="008A6C09" w:rsidRPr="009A6240" w:rsidRDefault="008A6C09" w:rsidP="008A6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Potrero Las Pomas</w:t>
            </w:r>
          </w:p>
        </w:tc>
      </w:tr>
      <w:tr w:rsidR="008A6C09" w:rsidRPr="009A6240" w:rsidTr="008C364B">
        <w:tc>
          <w:tcPr>
            <w:tcW w:w="4390" w:type="dxa"/>
            <w:gridSpan w:val="4"/>
          </w:tcPr>
          <w:p w:rsidR="008A6C09" w:rsidRPr="009A6240" w:rsidRDefault="008A6C09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Nivelación de 51,200 m2 en un distancia de 4,800 m</w:t>
            </w:r>
          </w:p>
        </w:tc>
        <w:tc>
          <w:tcPr>
            <w:tcW w:w="4438" w:type="dxa"/>
            <w:gridSpan w:val="6"/>
          </w:tcPr>
          <w:p w:rsidR="008A6C09" w:rsidRPr="009A6240" w:rsidRDefault="008A6C09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 xml:space="preserve">Nivelación de 20,200 m2 en una distancia de 1,800 m </w:t>
            </w:r>
          </w:p>
        </w:tc>
      </w:tr>
      <w:tr w:rsidR="008A6C09" w:rsidRPr="009A6240" w:rsidTr="00B67416">
        <w:tc>
          <w:tcPr>
            <w:tcW w:w="8828" w:type="dxa"/>
            <w:gridSpan w:val="10"/>
          </w:tcPr>
          <w:p w:rsidR="008A6C09" w:rsidRPr="009A6240" w:rsidRDefault="008A6C09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Se rehabilitaron 71,400 m2 en una distancia de 6,600 m (6.60 Km)</w:t>
            </w:r>
          </w:p>
        </w:tc>
      </w:tr>
      <w:tr w:rsidR="00A72312" w:rsidRPr="009A6240" w:rsidTr="00073636">
        <w:tc>
          <w:tcPr>
            <w:tcW w:w="8828" w:type="dxa"/>
            <w:gridSpan w:val="10"/>
          </w:tcPr>
          <w:p w:rsidR="00A72312" w:rsidRPr="009A6240" w:rsidRDefault="00A723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312" w:rsidRPr="009A6240" w:rsidTr="00210841">
        <w:tc>
          <w:tcPr>
            <w:tcW w:w="8828" w:type="dxa"/>
            <w:gridSpan w:val="10"/>
          </w:tcPr>
          <w:p w:rsidR="00A72312" w:rsidRPr="009A6240" w:rsidRDefault="00A72312" w:rsidP="00A72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Camiones de volteo 10, 12 y 13</w:t>
            </w:r>
          </w:p>
        </w:tc>
      </w:tr>
      <w:tr w:rsidR="00A72312" w:rsidRPr="009A6240" w:rsidTr="00CC3A2B">
        <w:tc>
          <w:tcPr>
            <w:tcW w:w="8828" w:type="dxa"/>
            <w:gridSpan w:val="10"/>
          </w:tcPr>
          <w:p w:rsidR="00A72312" w:rsidRPr="009A6240" w:rsidRDefault="00A72312" w:rsidP="00A72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Traslado de materiales</w:t>
            </w:r>
          </w:p>
        </w:tc>
      </w:tr>
      <w:tr w:rsidR="007B2D1D" w:rsidRPr="009A6240" w:rsidTr="004569D7">
        <w:tc>
          <w:tcPr>
            <w:tcW w:w="8828" w:type="dxa"/>
            <w:gridSpan w:val="10"/>
          </w:tcPr>
          <w:p w:rsidR="007B2D1D" w:rsidRPr="009A6240" w:rsidRDefault="007B2D1D" w:rsidP="007B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</w:tc>
      </w:tr>
      <w:tr w:rsidR="00FA600E" w:rsidRPr="009A6240" w:rsidTr="007B2D1D">
        <w:tc>
          <w:tcPr>
            <w:tcW w:w="2972" w:type="dxa"/>
            <w:gridSpan w:val="3"/>
          </w:tcPr>
          <w:p w:rsidR="00FA600E" w:rsidRPr="009A6240" w:rsidRDefault="007B2D1D" w:rsidP="007B2D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</w:tc>
        <w:tc>
          <w:tcPr>
            <w:tcW w:w="2913" w:type="dxa"/>
            <w:gridSpan w:val="4"/>
          </w:tcPr>
          <w:p w:rsidR="00FA600E" w:rsidRPr="009A6240" w:rsidRDefault="007B2D1D" w:rsidP="007B2D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Potero Las Pomas</w:t>
            </w:r>
          </w:p>
        </w:tc>
        <w:tc>
          <w:tcPr>
            <w:tcW w:w="2943" w:type="dxa"/>
            <w:gridSpan w:val="3"/>
          </w:tcPr>
          <w:p w:rsidR="00FA600E" w:rsidRPr="009A6240" w:rsidRDefault="007B2D1D" w:rsidP="007B2D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Pavimentos</w:t>
            </w:r>
          </w:p>
        </w:tc>
      </w:tr>
      <w:tr w:rsidR="00FA600E" w:rsidRPr="009A6240" w:rsidTr="007B2D1D">
        <w:tc>
          <w:tcPr>
            <w:tcW w:w="2972" w:type="dxa"/>
            <w:gridSpan w:val="3"/>
          </w:tcPr>
          <w:p w:rsidR="00FA600E" w:rsidRPr="009A6240" w:rsidRDefault="007B2D1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3 viajes de tubos (24 tubos)</w:t>
            </w:r>
          </w:p>
        </w:tc>
        <w:tc>
          <w:tcPr>
            <w:tcW w:w="2913" w:type="dxa"/>
            <w:gridSpan w:val="4"/>
          </w:tcPr>
          <w:p w:rsidR="00FA600E" w:rsidRPr="009A6240" w:rsidRDefault="007B2D1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4 viajes de tubos ( 32 tubos)</w:t>
            </w:r>
          </w:p>
        </w:tc>
        <w:tc>
          <w:tcPr>
            <w:tcW w:w="2943" w:type="dxa"/>
            <w:gridSpan w:val="3"/>
          </w:tcPr>
          <w:p w:rsidR="00FA600E" w:rsidRPr="009A6240" w:rsidRDefault="007B2D1D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4 viajes de piedra</w:t>
            </w:r>
            <w:r w:rsidR="009A6240" w:rsidRPr="009A6240">
              <w:rPr>
                <w:rFonts w:ascii="Arial" w:hAnsi="Arial" w:cs="Arial"/>
                <w:sz w:val="18"/>
                <w:szCs w:val="18"/>
              </w:rPr>
              <w:t xml:space="preserve"> (56 m3)</w:t>
            </w:r>
            <w:r w:rsidRPr="009A6240">
              <w:rPr>
                <w:rFonts w:ascii="Arial" w:hAnsi="Arial" w:cs="Arial"/>
                <w:sz w:val="18"/>
                <w:szCs w:val="18"/>
              </w:rPr>
              <w:br/>
              <w:t>4 viajes de jal (</w:t>
            </w:r>
            <w:r w:rsidR="009A6240" w:rsidRPr="009A6240">
              <w:rPr>
                <w:rFonts w:ascii="Arial" w:hAnsi="Arial" w:cs="Arial"/>
                <w:sz w:val="18"/>
                <w:szCs w:val="18"/>
              </w:rPr>
              <w:t>56 m3)</w:t>
            </w:r>
          </w:p>
        </w:tc>
      </w:tr>
      <w:tr w:rsidR="009A6240" w:rsidRPr="009A6240" w:rsidTr="00B34B29">
        <w:tc>
          <w:tcPr>
            <w:tcW w:w="8828" w:type="dxa"/>
            <w:gridSpan w:val="10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</w:tc>
      </w:tr>
      <w:tr w:rsidR="009A6240" w:rsidRPr="009A6240" w:rsidTr="00B34B29">
        <w:tc>
          <w:tcPr>
            <w:tcW w:w="8828" w:type="dxa"/>
            <w:gridSpan w:val="10"/>
          </w:tcPr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Se trasladaron 21 viajes con escombro a la vialidad rural “Camino Los 2 Ejidos”.</w:t>
            </w:r>
          </w:p>
        </w:tc>
      </w:tr>
      <w:tr w:rsidR="009A6240" w:rsidRPr="009A6240" w:rsidTr="00B34B29">
        <w:tc>
          <w:tcPr>
            <w:tcW w:w="8828" w:type="dxa"/>
            <w:gridSpan w:val="10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</w:tc>
      </w:tr>
      <w:tr w:rsidR="009A6240" w:rsidRPr="009A6240" w:rsidTr="00E9451B">
        <w:tc>
          <w:tcPr>
            <w:tcW w:w="2207" w:type="dxa"/>
            <w:gridSpan w:val="2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</w:tc>
        <w:tc>
          <w:tcPr>
            <w:tcW w:w="2207" w:type="dxa"/>
            <w:gridSpan w:val="3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</w:tc>
        <w:tc>
          <w:tcPr>
            <w:tcW w:w="2207" w:type="dxa"/>
            <w:gridSpan w:val="3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Pavimentos</w:t>
            </w:r>
          </w:p>
        </w:tc>
        <w:tc>
          <w:tcPr>
            <w:tcW w:w="2207" w:type="dxa"/>
            <w:gridSpan w:val="2"/>
          </w:tcPr>
          <w:p w:rsidR="009A6240" w:rsidRPr="009A6240" w:rsidRDefault="009A6240" w:rsidP="009A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</w:tc>
      </w:tr>
      <w:tr w:rsidR="009A6240" w:rsidRPr="009A6240" w:rsidTr="00FB3109">
        <w:tc>
          <w:tcPr>
            <w:tcW w:w="2207" w:type="dxa"/>
            <w:gridSpan w:val="2"/>
          </w:tcPr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5 viajes de tubos (40 tubos)</w:t>
            </w:r>
          </w:p>
        </w:tc>
        <w:tc>
          <w:tcPr>
            <w:tcW w:w="2207" w:type="dxa"/>
            <w:gridSpan w:val="3"/>
          </w:tcPr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1 viaje de tubos (8 tubos)</w:t>
            </w:r>
          </w:p>
        </w:tc>
        <w:tc>
          <w:tcPr>
            <w:tcW w:w="2207" w:type="dxa"/>
            <w:gridSpan w:val="3"/>
          </w:tcPr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4 viajes de piedra ( 56 m3)</w:t>
            </w:r>
          </w:p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4 viajes de jal (56 m3)</w:t>
            </w:r>
          </w:p>
        </w:tc>
        <w:tc>
          <w:tcPr>
            <w:tcW w:w="2207" w:type="dxa"/>
            <w:gridSpan w:val="2"/>
          </w:tcPr>
          <w:p w:rsidR="009A6240" w:rsidRPr="009A6240" w:rsidRDefault="009A6240">
            <w:pPr>
              <w:rPr>
                <w:rFonts w:ascii="Arial" w:hAnsi="Arial" w:cs="Arial"/>
                <w:sz w:val="18"/>
                <w:szCs w:val="18"/>
              </w:rPr>
            </w:pPr>
            <w:r w:rsidRPr="009A6240">
              <w:rPr>
                <w:rFonts w:ascii="Arial" w:hAnsi="Arial" w:cs="Arial"/>
                <w:sz w:val="18"/>
                <w:szCs w:val="18"/>
              </w:rPr>
              <w:t>Se retiraron 34 viajes de escombro del Camino 2 Ejidos</w:t>
            </w:r>
          </w:p>
        </w:tc>
      </w:tr>
      <w:tr w:rsidR="009A6240" w:rsidRPr="009A6240" w:rsidTr="00B34B29">
        <w:tc>
          <w:tcPr>
            <w:tcW w:w="8828" w:type="dxa"/>
            <w:gridSpan w:val="10"/>
          </w:tcPr>
          <w:p w:rsidR="009A6240" w:rsidRPr="009A6240" w:rsidRDefault="009A6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240">
              <w:rPr>
                <w:rFonts w:ascii="Arial" w:hAnsi="Arial" w:cs="Arial"/>
                <w:b/>
                <w:sz w:val="18"/>
                <w:szCs w:val="18"/>
              </w:rPr>
              <w:t>En 87 viajes se trasladaron 1,242 m3 de materiales y 104 tubos</w:t>
            </w:r>
          </w:p>
        </w:tc>
      </w:tr>
    </w:tbl>
    <w:p w:rsidR="009A6240" w:rsidRDefault="009A6240"/>
    <w:p w:rsidR="00E74E11" w:rsidRDefault="00E74E11"/>
    <w:p w:rsidR="00E74E11" w:rsidRDefault="00E74E11"/>
    <w:p w:rsidR="00E74E11" w:rsidRDefault="00E74E11"/>
    <w:p w:rsidR="00E74E11" w:rsidRDefault="00E74E11"/>
    <w:p w:rsidR="00E74E11" w:rsidRDefault="00E74E11"/>
    <w:p w:rsidR="00E74E11" w:rsidRDefault="00E74E11"/>
    <w:p w:rsidR="00E74E11" w:rsidRDefault="00E74E11"/>
    <w:p w:rsidR="00E74E11" w:rsidRDefault="00E74E11">
      <w:bookmarkStart w:id="0" w:name="_GoBack"/>
      <w:bookmarkEnd w:id="0"/>
    </w:p>
    <w:p w:rsidR="009A6240" w:rsidRDefault="009A6240">
      <w:pPr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lastRenderedPageBreak/>
        <w:t>Campaña Zoosanitaria</w:t>
      </w:r>
    </w:p>
    <w:p w:rsidR="00E74E11" w:rsidRPr="00FB51F7" w:rsidRDefault="00E74E11">
      <w:pPr>
        <w:rPr>
          <w:rFonts w:ascii="Arial" w:hAnsi="Arial" w:cs="Arial"/>
          <w:b/>
          <w:sz w:val="24"/>
          <w:szCs w:val="24"/>
        </w:rPr>
      </w:pPr>
      <w:r w:rsidRPr="00E74E11">
        <w:drawing>
          <wp:inline distT="0" distB="0" distL="0" distR="0">
            <wp:extent cx="5612130" cy="3426608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F7" w:rsidRPr="00FB51F7" w:rsidRDefault="00FB51F7" w:rsidP="00FB51F7">
      <w:pPr>
        <w:jc w:val="both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Consejo Municipal de Desarrollo Rural Sustentable</w:t>
      </w:r>
    </w:p>
    <w:p w:rsidR="00FB51F7" w:rsidRPr="00FB51F7" w:rsidRDefault="00FB51F7" w:rsidP="00FB51F7">
      <w:pPr>
        <w:jc w:val="both"/>
        <w:rPr>
          <w:rFonts w:ascii="Arial" w:hAnsi="Arial" w:cs="Arial"/>
          <w:sz w:val="24"/>
          <w:szCs w:val="24"/>
        </w:rPr>
      </w:pPr>
      <w:r w:rsidRPr="00FB51F7"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en la Casa Ejidal de Los Puestos, el martes 10 de Octubre.</w:t>
      </w:r>
    </w:p>
    <w:p w:rsidR="00FB51F7" w:rsidRDefault="00FB51F7" w:rsidP="00FB51F7">
      <w:pPr>
        <w:jc w:val="both"/>
        <w:rPr>
          <w:rFonts w:ascii="Arial" w:hAnsi="Arial" w:cs="Arial"/>
          <w:sz w:val="24"/>
          <w:szCs w:val="24"/>
        </w:rPr>
      </w:pPr>
    </w:p>
    <w:p w:rsidR="004A38FC" w:rsidRDefault="004A38FC" w:rsidP="00FB51F7">
      <w:pPr>
        <w:jc w:val="both"/>
        <w:rPr>
          <w:rFonts w:ascii="Arial" w:hAnsi="Arial" w:cs="Arial"/>
          <w:sz w:val="24"/>
          <w:szCs w:val="24"/>
        </w:rPr>
      </w:pPr>
    </w:p>
    <w:p w:rsidR="004A38FC" w:rsidRDefault="004A38FC" w:rsidP="00FB51F7">
      <w:pPr>
        <w:jc w:val="both"/>
        <w:rPr>
          <w:rFonts w:ascii="Arial" w:hAnsi="Arial" w:cs="Arial"/>
          <w:sz w:val="24"/>
          <w:szCs w:val="24"/>
        </w:rPr>
      </w:pPr>
    </w:p>
    <w:p w:rsidR="004A38FC" w:rsidRPr="00FB51F7" w:rsidRDefault="004A38FC" w:rsidP="00FB51F7">
      <w:pPr>
        <w:jc w:val="both"/>
        <w:rPr>
          <w:rFonts w:ascii="Arial" w:hAnsi="Arial" w:cs="Arial"/>
          <w:sz w:val="24"/>
          <w:szCs w:val="24"/>
        </w:rPr>
      </w:pPr>
    </w:p>
    <w:p w:rsidR="00FB51F7" w:rsidRPr="00FB51F7" w:rsidRDefault="00FB51F7" w:rsidP="00FB51F7">
      <w:pPr>
        <w:jc w:val="both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Consejo distrital de Desarrollo Rural Sustentable</w:t>
      </w:r>
    </w:p>
    <w:p w:rsidR="00FB51F7" w:rsidRPr="00FB51F7" w:rsidRDefault="00FB51F7" w:rsidP="00FB51F7">
      <w:pPr>
        <w:jc w:val="both"/>
        <w:rPr>
          <w:rFonts w:ascii="Arial" w:hAnsi="Arial" w:cs="Arial"/>
          <w:sz w:val="24"/>
          <w:szCs w:val="24"/>
        </w:rPr>
      </w:pPr>
      <w:r w:rsidRPr="00FB51F7">
        <w:rPr>
          <w:rFonts w:ascii="Arial" w:hAnsi="Arial" w:cs="Arial"/>
          <w:sz w:val="24"/>
          <w:szCs w:val="24"/>
        </w:rPr>
        <w:t xml:space="preserve">Asistencia y entrega de la vida organizativa del Consejo Municipal de Desarrollo Rural del Municipio en la Reunión Ordinaria del Consejo Distrital de Desarrollo Rural Sustentable Región Centro, en el Municipio de </w:t>
      </w:r>
      <w:proofErr w:type="spellStart"/>
      <w:r w:rsidRPr="00FB51F7">
        <w:rPr>
          <w:rFonts w:ascii="Arial" w:hAnsi="Arial" w:cs="Arial"/>
          <w:sz w:val="24"/>
          <w:szCs w:val="24"/>
        </w:rPr>
        <w:t>Zapotlanejo</w:t>
      </w:r>
      <w:proofErr w:type="spellEnd"/>
      <w:r w:rsidRPr="00FB51F7">
        <w:rPr>
          <w:rFonts w:ascii="Arial" w:hAnsi="Arial" w:cs="Arial"/>
          <w:sz w:val="24"/>
          <w:szCs w:val="24"/>
        </w:rPr>
        <w:t xml:space="preserve"> el jueves 26 de Octubre.</w:t>
      </w:r>
    </w:p>
    <w:p w:rsidR="00FB51F7" w:rsidRPr="00FB51F7" w:rsidRDefault="00FB51F7" w:rsidP="00FB51F7">
      <w:pPr>
        <w:jc w:val="center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Unidades Cooperativas</w:t>
      </w:r>
    </w:p>
    <w:p w:rsidR="00FB51F7" w:rsidRPr="00FB51F7" w:rsidRDefault="00FB51F7" w:rsidP="00FB51F7">
      <w:pPr>
        <w:jc w:val="both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Consejo Municipal de Desarrollo Económico de San Pedro Tlaquepaque.</w:t>
      </w:r>
    </w:p>
    <w:p w:rsidR="009A6240" w:rsidRPr="004A38FC" w:rsidRDefault="00514EDE">
      <w:pPr>
        <w:rPr>
          <w:rFonts w:ascii="Arial" w:hAnsi="Arial" w:cs="Arial"/>
          <w:b/>
          <w:sz w:val="24"/>
          <w:szCs w:val="24"/>
        </w:rPr>
      </w:pPr>
      <w:r w:rsidRPr="004A38FC">
        <w:rPr>
          <w:rFonts w:ascii="Arial" w:hAnsi="Arial" w:cs="Arial"/>
          <w:b/>
          <w:sz w:val="24"/>
          <w:szCs w:val="24"/>
        </w:rPr>
        <w:t>Centros de Gestión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lastRenderedPageBreak/>
        <w:t xml:space="preserve">Reunión de trabajo con el Dr. Carlos </w:t>
      </w:r>
      <w:proofErr w:type="spellStart"/>
      <w:r w:rsidRPr="004A38FC">
        <w:rPr>
          <w:rFonts w:ascii="Arial" w:hAnsi="Arial" w:cs="Arial"/>
          <w:sz w:val="24"/>
          <w:szCs w:val="24"/>
        </w:rPr>
        <w:t>Beaz</w:t>
      </w:r>
      <w:proofErr w:type="spellEnd"/>
      <w:r w:rsidRPr="004A38FC">
        <w:rPr>
          <w:rFonts w:ascii="Arial" w:hAnsi="Arial" w:cs="Arial"/>
          <w:sz w:val="24"/>
          <w:szCs w:val="24"/>
        </w:rPr>
        <w:t xml:space="preserve"> en la Rectoría del Centro Universitario de Ciencias Biológicas y Agropecuarias, para concertar cita con la Presidenta del San Pedro Tlaquepaque y generar vínculos con la Institución Educativa.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en la Dirección de Medio Ambiente presentación del Plan de recarga del Acuífero Toluquilla, proyecto en vinculación con la Dirección de Desarrollo Agropecuario.</w:t>
      </w:r>
    </w:p>
    <w:p w:rsidR="004A38FC" w:rsidRPr="004A38FC" w:rsidRDefault="004A38FC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Gestión ante la Asociación ganadera Local gafetes y boletos para productores a la Expo Ganadera Jalisco 2017.</w:t>
      </w:r>
    </w:p>
    <w:p w:rsidR="004A38FC" w:rsidRPr="004A38FC" w:rsidRDefault="004A38FC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en la Secretaria de Desarrollo Rural del Estado para la gestión de apoyo económico para el Grupo de Huerto Familiar de San Martín de las flores.</w:t>
      </w:r>
    </w:p>
    <w:p w:rsidR="00514EDE" w:rsidRPr="004A38FC" w:rsidRDefault="00514EDE">
      <w:pPr>
        <w:rPr>
          <w:rFonts w:ascii="Arial" w:hAnsi="Arial" w:cs="Arial"/>
          <w:b/>
          <w:sz w:val="24"/>
          <w:szCs w:val="24"/>
        </w:rPr>
      </w:pPr>
      <w:r w:rsidRPr="004A38FC">
        <w:rPr>
          <w:rFonts w:ascii="Arial" w:hAnsi="Arial" w:cs="Arial"/>
          <w:b/>
          <w:sz w:val="24"/>
          <w:szCs w:val="24"/>
        </w:rPr>
        <w:t>Programa de despensas del Banco de Alimentos de Juanacatlán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Preparación de la logística del Programa de entrega de Despensas del Banco de alimentos de Juanacatlán para el mes de Octubre.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Presentación del programa de actividades para el mes de octubre en la sala de expresidentes con regidores.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en la colonia Linda Vista.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Entrega de despensas en la colonia La Mezquitera y Plan del Sur.</w:t>
      </w:r>
    </w:p>
    <w:p w:rsidR="00514EDE" w:rsidRPr="004A38FC" w:rsidRDefault="00514EDE">
      <w:pPr>
        <w:rPr>
          <w:rFonts w:ascii="Arial" w:hAnsi="Arial" w:cs="Arial"/>
          <w:b/>
          <w:sz w:val="24"/>
          <w:szCs w:val="24"/>
        </w:rPr>
      </w:pPr>
      <w:r w:rsidRPr="004A38FC">
        <w:rPr>
          <w:rFonts w:ascii="Arial" w:hAnsi="Arial" w:cs="Arial"/>
          <w:b/>
          <w:sz w:val="24"/>
          <w:szCs w:val="24"/>
        </w:rPr>
        <w:t>Diagnóstico de sector rural del municipio</w:t>
      </w:r>
    </w:p>
    <w:p w:rsidR="00514EDE" w:rsidRPr="004A38FC" w:rsidRDefault="00514EDE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de trabajo con el Ejido de San Sebastian</w:t>
      </w:r>
      <w:r w:rsidR="004A38FC" w:rsidRPr="004A38FC">
        <w:rPr>
          <w:rFonts w:ascii="Arial" w:hAnsi="Arial" w:cs="Arial"/>
          <w:sz w:val="24"/>
          <w:szCs w:val="24"/>
        </w:rPr>
        <w:t>ito para captura de información.</w:t>
      </w:r>
    </w:p>
    <w:p w:rsidR="004A38FC" w:rsidRPr="004A38FC" w:rsidRDefault="004A38FC" w:rsidP="004A38FC">
      <w:pPr>
        <w:jc w:val="both"/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en el INEGI de Jalisco, para solicitar datos del municipio de San Pedro Tlaquepaque.</w:t>
      </w:r>
    </w:p>
    <w:p w:rsidR="004A38FC" w:rsidRPr="004A38FC" w:rsidRDefault="004A38FC">
      <w:pPr>
        <w:rPr>
          <w:rFonts w:ascii="Arial" w:hAnsi="Arial" w:cs="Arial"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en el Instituto Metropolitano de Planeación del Área Metropolitana de Guadalajara, asunto Proyecto Diagnostico del sector rural de San Pedro Tlaquepaque.</w:t>
      </w:r>
    </w:p>
    <w:p w:rsidR="004A38FC" w:rsidRPr="004A38FC" w:rsidRDefault="004A38FC">
      <w:pPr>
        <w:rPr>
          <w:rFonts w:ascii="Arial" w:hAnsi="Arial" w:cs="Arial"/>
          <w:b/>
          <w:sz w:val="24"/>
          <w:szCs w:val="24"/>
        </w:rPr>
      </w:pPr>
      <w:r w:rsidRPr="004A38FC">
        <w:rPr>
          <w:rFonts w:ascii="Arial" w:hAnsi="Arial" w:cs="Arial"/>
          <w:sz w:val="24"/>
          <w:szCs w:val="24"/>
        </w:rPr>
        <w:t>Reunión de trabajo en el museo Pantaleón Panduro asunto Programa de Ordenamiento Ecológico Territorial y de Desarrollo Urbano para el Municipio de San Pedro Tlaquepaque.</w:t>
      </w:r>
    </w:p>
    <w:sectPr w:rsidR="004A38FC" w:rsidRPr="004A3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0E"/>
    <w:rsid w:val="0042314D"/>
    <w:rsid w:val="004A38FC"/>
    <w:rsid w:val="00514EDE"/>
    <w:rsid w:val="007B2D1D"/>
    <w:rsid w:val="008301BE"/>
    <w:rsid w:val="008A6C09"/>
    <w:rsid w:val="009A6240"/>
    <w:rsid w:val="00A72312"/>
    <w:rsid w:val="00C51EC1"/>
    <w:rsid w:val="00E74E11"/>
    <w:rsid w:val="00FA600E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9A514-373C-4689-8306-BDCF96F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2017-11-21T17:23:00Z</dcterms:created>
  <dcterms:modified xsi:type="dcterms:W3CDTF">2017-11-21T20:31:00Z</dcterms:modified>
</cp:coreProperties>
</file>