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9A" w:rsidRPr="0031188B" w:rsidRDefault="0076069A" w:rsidP="007606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Marzo (01 al 23) 2018</w:t>
      </w:r>
    </w:p>
    <w:p w:rsidR="0076069A" w:rsidRPr="0031188B" w:rsidRDefault="0076069A" w:rsidP="0076069A">
      <w:pPr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42"/>
        <w:gridCol w:w="1393"/>
        <w:gridCol w:w="3021"/>
      </w:tblGrid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Retroexcavadora 594</w:t>
            </w:r>
          </w:p>
        </w:tc>
      </w:tr>
      <w:tr w:rsidR="0076069A" w:rsidRPr="00094D35" w:rsidTr="002F165F">
        <w:tc>
          <w:tcPr>
            <w:tcW w:w="4414" w:type="dxa"/>
            <w:gridSpan w:val="2"/>
          </w:tcPr>
          <w:p w:rsidR="0076069A" w:rsidRPr="00094D35" w:rsidRDefault="0076069A" w:rsidP="00760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  <w:tc>
          <w:tcPr>
            <w:tcW w:w="4414" w:type="dxa"/>
            <w:gridSpan w:val="2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Ranchitos</w:t>
            </w:r>
          </w:p>
        </w:tc>
      </w:tr>
      <w:tr w:rsidR="0076069A" w:rsidRPr="00094D35" w:rsidTr="002F165F">
        <w:tc>
          <w:tcPr>
            <w:tcW w:w="4414" w:type="dxa"/>
            <w:gridSpan w:val="2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18 viajes de tierra (252 m3)</w:t>
            </w:r>
          </w:p>
        </w:tc>
        <w:tc>
          <w:tcPr>
            <w:tcW w:w="4414" w:type="dxa"/>
            <w:gridSpan w:val="2"/>
          </w:tcPr>
          <w:p w:rsidR="0076069A" w:rsidRDefault="0076069A" w:rsidP="002F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de Drenes Parcelarios</w:t>
            </w:r>
          </w:p>
          <w:p w:rsidR="0076069A" w:rsidRPr="00094D35" w:rsidRDefault="0076069A" w:rsidP="002F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de 298.3 m3 de azolve en 670 m (0.67 km) de longitud.</w:t>
            </w: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4D35">
              <w:rPr>
                <w:rFonts w:ascii="Arial" w:hAnsi="Arial" w:cs="Arial"/>
                <w:b/>
                <w:sz w:val="20"/>
                <w:szCs w:val="20"/>
              </w:rPr>
              <w:t>Motoconformadora</w:t>
            </w:r>
            <w:proofErr w:type="spellEnd"/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488</w:t>
            </w:r>
          </w:p>
        </w:tc>
      </w:tr>
      <w:tr w:rsidR="0076069A" w:rsidRPr="00094D35" w:rsidTr="002F165F">
        <w:tc>
          <w:tcPr>
            <w:tcW w:w="4414" w:type="dxa"/>
            <w:gridSpan w:val="2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Calerilla</w:t>
            </w:r>
          </w:p>
        </w:tc>
        <w:tc>
          <w:tcPr>
            <w:tcW w:w="4414" w:type="dxa"/>
            <w:gridSpan w:val="2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</w:tr>
      <w:tr w:rsidR="0076069A" w:rsidRPr="00094D35" w:rsidTr="002F165F">
        <w:trPr>
          <w:trHeight w:val="700"/>
        </w:trPr>
        <w:tc>
          <w:tcPr>
            <w:tcW w:w="4414" w:type="dxa"/>
            <w:gridSpan w:val="2"/>
          </w:tcPr>
          <w:p w:rsidR="0076069A" w:rsidRDefault="0076069A" w:rsidP="002F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2,950 m (2.95 Km) con una área de 43,500 m2.</w:t>
            </w:r>
          </w:p>
          <w:p w:rsidR="0076069A" w:rsidRPr="00094D35" w:rsidRDefault="0076069A" w:rsidP="002F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de 18 viajes tierra (252 m3).</w:t>
            </w:r>
          </w:p>
        </w:tc>
        <w:tc>
          <w:tcPr>
            <w:tcW w:w="4414" w:type="dxa"/>
            <w:gridSpan w:val="2"/>
          </w:tcPr>
          <w:p w:rsidR="0076069A" w:rsidRPr="00094D35" w:rsidRDefault="00F25993" w:rsidP="002F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1,700 m (1.70 Km) con área de 17,400 m2.</w:t>
            </w: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Default="0076069A" w:rsidP="002F16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Totales:</w:t>
            </w:r>
            <w:r w:rsidR="00F25993">
              <w:rPr>
                <w:rFonts w:ascii="Arial" w:hAnsi="Arial" w:cs="Arial"/>
                <w:b/>
                <w:sz w:val="20"/>
                <w:szCs w:val="20"/>
              </w:rPr>
              <w:t xml:space="preserve"> Nivelación 60,900 m (6.09 Km) y un área trabajada de 4,650 m2</w:t>
            </w:r>
          </w:p>
          <w:p w:rsidR="00F25993" w:rsidRPr="00094D35" w:rsidRDefault="00F25993" w:rsidP="002F16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Extensión de 18 viajes de tierra (252 m3).</w:t>
            </w: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Default="0076069A" w:rsidP="002F1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Excavadora 217</w:t>
            </w:r>
          </w:p>
        </w:tc>
      </w:tr>
      <w:tr w:rsidR="0076069A" w:rsidRPr="00094D35" w:rsidTr="002F165F">
        <w:trPr>
          <w:trHeight w:val="238"/>
        </w:trPr>
        <w:tc>
          <w:tcPr>
            <w:tcW w:w="8828" w:type="dxa"/>
            <w:gridSpan w:val="4"/>
          </w:tcPr>
          <w:p w:rsidR="0076069A" w:rsidRPr="00D05B01" w:rsidRDefault="0076069A" w:rsidP="00760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Ranchitos</w:t>
            </w:r>
          </w:p>
        </w:tc>
      </w:tr>
      <w:tr w:rsidR="0076069A" w:rsidRPr="00094D35" w:rsidTr="002F165F">
        <w:trPr>
          <w:trHeight w:val="410"/>
        </w:trPr>
        <w:tc>
          <w:tcPr>
            <w:tcW w:w="8828" w:type="dxa"/>
            <w:gridSpan w:val="4"/>
          </w:tcPr>
          <w:p w:rsidR="0076069A" w:rsidRPr="0076069A" w:rsidRDefault="0076069A" w:rsidP="0076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9A">
              <w:rPr>
                <w:rFonts w:ascii="Arial" w:hAnsi="Arial" w:cs="Arial"/>
                <w:sz w:val="20"/>
                <w:szCs w:val="20"/>
              </w:rPr>
              <w:t>Limpieza y mantenimiento de Drenes de la Presa “La Teja</w:t>
            </w:r>
            <w:r w:rsidRPr="0076069A">
              <w:rPr>
                <w:rFonts w:ascii="Arial" w:hAnsi="Arial" w:cs="Arial"/>
                <w:sz w:val="20"/>
                <w:szCs w:val="20"/>
              </w:rPr>
              <w:t>”</w:t>
            </w:r>
            <w:r w:rsidRPr="0076069A">
              <w:rPr>
                <w:rFonts w:ascii="Arial" w:hAnsi="Arial" w:cs="Arial"/>
                <w:sz w:val="20"/>
                <w:szCs w:val="20"/>
              </w:rPr>
              <w:br/>
              <w:t>Extracción de 4,480 m3 en 1,120 m (1.12 Km) de longitud.</w:t>
            </w: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69A" w:rsidRPr="00094D35" w:rsidTr="002F165F">
        <w:tc>
          <w:tcPr>
            <w:tcW w:w="8828" w:type="dxa"/>
            <w:gridSpan w:val="4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76069A" w:rsidRPr="00094D35" w:rsidTr="002F165F">
        <w:tc>
          <w:tcPr>
            <w:tcW w:w="2972" w:type="dxa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gridSpan w:val="2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1" w:type="dxa"/>
          </w:tcPr>
          <w:p w:rsidR="0076069A" w:rsidRPr="00094D35" w:rsidRDefault="0076069A" w:rsidP="002F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F25993" w:rsidRPr="00094D35" w:rsidTr="002F165F">
        <w:trPr>
          <w:trHeight w:val="154"/>
        </w:trPr>
        <w:tc>
          <w:tcPr>
            <w:tcW w:w="2972" w:type="dxa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993"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  <w:p w:rsidR="00F25993" w:rsidRPr="00F25993" w:rsidRDefault="00F25993" w:rsidP="00F2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  <w:tc>
          <w:tcPr>
            <w:tcW w:w="2835" w:type="dxa"/>
            <w:gridSpan w:val="2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993"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  <w:p w:rsidR="00F25993" w:rsidRPr="00995150" w:rsidRDefault="00F25993" w:rsidP="00F2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  <w:tc>
          <w:tcPr>
            <w:tcW w:w="3021" w:type="dxa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993"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  <w:p w:rsidR="00F25993" w:rsidRPr="00995150" w:rsidRDefault="00F25993" w:rsidP="00F2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</w:tr>
      <w:tr w:rsidR="00F25993" w:rsidRPr="00094D35" w:rsidTr="002F165F">
        <w:trPr>
          <w:trHeight w:val="154"/>
        </w:trPr>
        <w:tc>
          <w:tcPr>
            <w:tcW w:w="2972" w:type="dxa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Calerilla</w:t>
            </w:r>
          </w:p>
          <w:p w:rsidR="00F25993" w:rsidRPr="00F25993" w:rsidRDefault="00F25993" w:rsidP="00F2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  <w:tc>
          <w:tcPr>
            <w:tcW w:w="2835" w:type="dxa"/>
            <w:gridSpan w:val="2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Calerilla</w:t>
            </w:r>
          </w:p>
          <w:p w:rsidR="00F25993" w:rsidRPr="00995150" w:rsidRDefault="00F25993" w:rsidP="00F2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  <w:tc>
          <w:tcPr>
            <w:tcW w:w="3021" w:type="dxa"/>
          </w:tcPr>
          <w:p w:rsid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Calerilla</w:t>
            </w:r>
          </w:p>
          <w:p w:rsidR="00F25993" w:rsidRPr="00995150" w:rsidRDefault="00F25993" w:rsidP="00F2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tierra (84 m3).</w:t>
            </w:r>
          </w:p>
        </w:tc>
      </w:tr>
      <w:tr w:rsidR="00F25993" w:rsidRPr="00094D35" w:rsidTr="002F165F">
        <w:trPr>
          <w:trHeight w:val="154"/>
        </w:trPr>
        <w:tc>
          <w:tcPr>
            <w:tcW w:w="2972" w:type="dxa"/>
          </w:tcPr>
          <w:p w:rsidR="00F25993" w:rsidRPr="00F25993" w:rsidRDefault="00F25993" w:rsidP="00F2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993">
              <w:rPr>
                <w:rFonts w:ascii="Arial" w:hAnsi="Arial" w:cs="Arial"/>
                <w:sz w:val="20"/>
                <w:szCs w:val="20"/>
              </w:rPr>
              <w:t>Total: 12 viajes (168 m3)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F25993" w:rsidRPr="00995150" w:rsidRDefault="00F25993" w:rsidP="002F165F">
            <w:pPr>
              <w:rPr>
                <w:rFonts w:ascii="Arial" w:hAnsi="Arial" w:cs="Arial"/>
                <w:sz w:val="20"/>
                <w:szCs w:val="20"/>
              </w:rPr>
            </w:pPr>
            <w:r w:rsidRPr="00F25993">
              <w:rPr>
                <w:rFonts w:ascii="Arial" w:hAnsi="Arial" w:cs="Arial"/>
                <w:sz w:val="20"/>
                <w:szCs w:val="20"/>
              </w:rPr>
              <w:t>Total: 12 viajes (168 m3)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:rsidR="00F25993" w:rsidRPr="00995150" w:rsidRDefault="00F25993" w:rsidP="002F165F">
            <w:pPr>
              <w:rPr>
                <w:rFonts w:ascii="Arial" w:hAnsi="Arial" w:cs="Arial"/>
                <w:sz w:val="20"/>
                <w:szCs w:val="20"/>
              </w:rPr>
            </w:pPr>
            <w:r w:rsidRPr="00F25993">
              <w:rPr>
                <w:rFonts w:ascii="Arial" w:hAnsi="Arial" w:cs="Arial"/>
                <w:sz w:val="20"/>
                <w:szCs w:val="20"/>
              </w:rPr>
              <w:t>Total: 12 viajes (168 m3)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69A" w:rsidRPr="00094D35" w:rsidTr="002F165F">
        <w:trPr>
          <w:trHeight w:val="166"/>
        </w:trPr>
        <w:tc>
          <w:tcPr>
            <w:tcW w:w="8828" w:type="dxa"/>
            <w:gridSpan w:val="4"/>
          </w:tcPr>
          <w:p w:rsidR="0076069A" w:rsidRDefault="0076069A" w:rsidP="00760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Totales:</w:t>
            </w:r>
            <w:r w:rsidR="00F25993">
              <w:rPr>
                <w:rFonts w:ascii="Arial" w:hAnsi="Arial" w:cs="Arial"/>
                <w:b/>
                <w:sz w:val="20"/>
                <w:szCs w:val="20"/>
              </w:rPr>
              <w:t xml:space="preserve"> 36 viajes (504 m3)</w:t>
            </w:r>
          </w:p>
          <w:p w:rsidR="00F25993" w:rsidRDefault="00F25993" w:rsidP="00760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Toluquilla: 18 viajes de tierra.</w:t>
            </w:r>
          </w:p>
          <w:p w:rsidR="00F25993" w:rsidRPr="00094D35" w:rsidRDefault="00F25993" w:rsidP="00760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La Calerilla: 18 viajes de tierra.</w:t>
            </w:r>
          </w:p>
        </w:tc>
      </w:tr>
    </w:tbl>
    <w:p w:rsidR="0076069A" w:rsidRDefault="0076069A" w:rsidP="0076069A"/>
    <w:p w:rsidR="0076069A" w:rsidRDefault="0076069A" w:rsidP="007606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 w:rsidRPr="00733044"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</w:t>
      </w:r>
      <w:r>
        <w:rPr>
          <w:rFonts w:ascii="Arial" w:hAnsi="Arial" w:cs="Arial"/>
          <w:sz w:val="24"/>
          <w:szCs w:val="24"/>
        </w:rPr>
        <w:t>n la Casa Ejidal de Santa Ana Tepetitlán en representación del Potrero Las Pomas el martes 13 de Marzo</w:t>
      </w:r>
      <w:r w:rsidRPr="00733044">
        <w:rPr>
          <w:rFonts w:ascii="Arial" w:hAnsi="Arial" w:cs="Arial"/>
          <w:sz w:val="24"/>
          <w:szCs w:val="24"/>
        </w:rPr>
        <w:t>.</w:t>
      </w:r>
    </w:p>
    <w:p w:rsidR="0076069A" w:rsidRDefault="0076069A" w:rsidP="0076069A">
      <w:pPr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F25993" w:rsidRDefault="00F25993" w:rsidP="0076069A">
      <w:pPr>
        <w:jc w:val="center"/>
        <w:rPr>
          <w:rFonts w:ascii="Arial" w:hAnsi="Arial" w:cs="Arial"/>
          <w:b/>
          <w:sz w:val="24"/>
          <w:szCs w:val="24"/>
        </w:rPr>
      </w:pPr>
    </w:p>
    <w:p w:rsidR="0076069A" w:rsidRPr="00094D35" w:rsidRDefault="0076069A" w:rsidP="0076069A">
      <w:pPr>
        <w:jc w:val="center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lastRenderedPageBreak/>
        <w:t>Unidades Cooperativas</w:t>
      </w:r>
    </w:p>
    <w:p w:rsidR="0076069A" w:rsidRPr="00B239CE" w:rsidRDefault="0076069A" w:rsidP="0076069A">
      <w:pPr>
        <w:jc w:val="both"/>
        <w:rPr>
          <w:rFonts w:ascii="Arial" w:hAnsi="Arial" w:cs="Arial"/>
          <w:b/>
          <w:sz w:val="24"/>
          <w:szCs w:val="24"/>
        </w:rPr>
      </w:pPr>
      <w:r w:rsidRPr="00B239CE">
        <w:rPr>
          <w:rFonts w:ascii="Arial" w:hAnsi="Arial" w:cs="Arial"/>
          <w:b/>
          <w:sz w:val="24"/>
          <w:szCs w:val="24"/>
        </w:rPr>
        <w:t>Centros de Gestión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Oficio a Presidencia Municipal para concertar cita con el Rector del Centro Universitario de Ciencias Biológicas y Agropecuarias de la Universidad de Guadalajara.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el Gerente de Financiera Nacional, búsqueda de financiamientos y préstamos para inversión en proyectos agropecuarios en el Municipio de San Pedro Tlaquepaque.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en la Coordinación de Desarrollo Económico y Combate a la Desigualdad con la mesa Directiva del Ejido Santa Anita para la solicitud de terreno para construcción de un centro de valor agregado para Hortalizas.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¿Que es un Plan de negocios y sus beneficios? y la elaboración del mismo al Grupo Herbolaria de San Martín de las Flores con asistencia de prestadores de Servicio Social y Prácticas Profesionales.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Gerente de Empresa Comercializadora de productos de higiene personal a base de herbolaria como posible comprador de los productos elaborados por el Grupo Herbolaria de San Martín de las Flores.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al Congreso Nacional de Productores de Alimento para Consumo Animal (ANFACA) en Expo Guadalajara.</w:t>
      </w:r>
    </w:p>
    <w:p w:rsidR="0076069A" w:rsidRPr="00B239CE" w:rsidRDefault="0076069A" w:rsidP="0076069A">
      <w:pPr>
        <w:jc w:val="both"/>
        <w:rPr>
          <w:rFonts w:ascii="Arial" w:hAnsi="Arial" w:cs="Arial"/>
          <w:sz w:val="24"/>
          <w:szCs w:val="24"/>
        </w:rPr>
      </w:pPr>
    </w:p>
    <w:p w:rsidR="0076069A" w:rsidRPr="00B239CE" w:rsidRDefault="0076069A" w:rsidP="0076069A">
      <w:pPr>
        <w:jc w:val="both"/>
        <w:rPr>
          <w:rFonts w:ascii="Arial" w:hAnsi="Arial" w:cs="Arial"/>
          <w:b/>
          <w:sz w:val="24"/>
          <w:szCs w:val="24"/>
        </w:rPr>
      </w:pPr>
      <w:r w:rsidRPr="00B239CE">
        <w:rPr>
          <w:rFonts w:ascii="Arial" w:hAnsi="Arial" w:cs="Arial"/>
          <w:b/>
          <w:sz w:val="24"/>
          <w:szCs w:val="24"/>
        </w:rPr>
        <w:t>Huertos Familiares</w:t>
      </w:r>
    </w:p>
    <w:p w:rsid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Oficio a la Coordinación de Políticas Públicas del Proyecto Huertos Urbanos.</w:t>
      </w:r>
    </w:p>
    <w:p w:rsidR="001018A4" w:rsidRPr="0076069A" w:rsidRDefault="0076069A" w:rsidP="007606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el Regidos Alfredo Fierros, situación actual de la ganadería de traspatio en el municipio.</w:t>
      </w:r>
    </w:p>
    <w:sectPr w:rsidR="001018A4" w:rsidRPr="00760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A"/>
    <w:rsid w:val="001018A4"/>
    <w:rsid w:val="0076069A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649C1-DBB4-4694-B74E-447D095B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1</cp:revision>
  <dcterms:created xsi:type="dcterms:W3CDTF">2018-04-18T14:39:00Z</dcterms:created>
  <dcterms:modified xsi:type="dcterms:W3CDTF">2018-04-18T14:59:00Z</dcterms:modified>
</cp:coreProperties>
</file>