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AB" w:rsidRPr="0031188B" w:rsidRDefault="00A03B66" w:rsidP="00B913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Junio</w:t>
      </w:r>
      <w:r w:rsidR="00B913AB">
        <w:rPr>
          <w:rFonts w:ascii="Arial" w:hAnsi="Arial" w:cs="Arial"/>
          <w:b/>
          <w:sz w:val="24"/>
          <w:szCs w:val="24"/>
        </w:rPr>
        <w:t xml:space="preserve"> 2018</w:t>
      </w:r>
    </w:p>
    <w:p w:rsidR="00B913AB" w:rsidRPr="0031188B" w:rsidRDefault="00B913AB" w:rsidP="00B913AB">
      <w:pPr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116"/>
        <w:gridCol w:w="302"/>
        <w:gridCol w:w="1417"/>
        <w:gridCol w:w="3021"/>
      </w:tblGrid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Retroexcavadora 489</w:t>
            </w:r>
          </w:p>
        </w:tc>
      </w:tr>
      <w:tr w:rsidR="00B913AB" w:rsidRPr="00094D35" w:rsidTr="002E39B5">
        <w:tc>
          <w:tcPr>
            <w:tcW w:w="4088" w:type="dxa"/>
            <w:gridSpan w:val="2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 Anita</w:t>
            </w:r>
          </w:p>
        </w:tc>
        <w:tc>
          <w:tcPr>
            <w:tcW w:w="4740" w:type="dxa"/>
            <w:gridSpan w:val="3"/>
          </w:tcPr>
          <w:p w:rsidR="00B913AB" w:rsidRPr="00094D35" w:rsidRDefault="00F14AB2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</w:tc>
      </w:tr>
      <w:tr w:rsidR="00F14AB2" w:rsidRPr="00094D35" w:rsidTr="002E39B5">
        <w:trPr>
          <w:trHeight w:val="182"/>
        </w:trPr>
        <w:tc>
          <w:tcPr>
            <w:tcW w:w="4088" w:type="dxa"/>
            <w:gridSpan w:val="2"/>
          </w:tcPr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Desazolve de Drenes Parcelarios</w:t>
            </w:r>
          </w:p>
          <w:p w:rsidR="00F14AB2" w:rsidRPr="00094D35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una distancia de 820 m (0.8 Km) se extrajeron 334.4 m3 de azolve.</w:t>
            </w:r>
          </w:p>
        </w:tc>
        <w:tc>
          <w:tcPr>
            <w:tcW w:w="4740" w:type="dxa"/>
            <w:gridSpan w:val="3"/>
            <w:vMerge w:val="restart"/>
          </w:tcPr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materiales</w:t>
            </w:r>
          </w:p>
          <w:p w:rsidR="00F14AB2" w:rsidRDefault="00F14AB2" w:rsidP="00F1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viajes de desazolve</w:t>
            </w:r>
          </w:p>
          <w:p w:rsidR="00F14AB2" w:rsidRPr="00094D35" w:rsidRDefault="00F14AB2" w:rsidP="00F1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viajes de polvillo</w:t>
            </w:r>
          </w:p>
        </w:tc>
      </w:tr>
      <w:tr w:rsidR="00F14AB2" w:rsidRPr="00094D35" w:rsidTr="00F14AB2">
        <w:trPr>
          <w:trHeight w:val="182"/>
        </w:trPr>
        <w:tc>
          <w:tcPr>
            <w:tcW w:w="4088" w:type="dxa"/>
            <w:gridSpan w:val="2"/>
          </w:tcPr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Desazolve de Pozos de absorción</w:t>
            </w:r>
          </w:p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10 pozos de absorción rústicos se extrajeron 288 m3 de azolve </w:t>
            </w:r>
          </w:p>
        </w:tc>
        <w:tc>
          <w:tcPr>
            <w:tcW w:w="4740" w:type="dxa"/>
            <w:gridSpan w:val="3"/>
            <w:vMerge/>
          </w:tcPr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AB2" w:rsidRPr="00094D35" w:rsidTr="002E39B5">
        <w:trPr>
          <w:trHeight w:val="182"/>
        </w:trPr>
        <w:tc>
          <w:tcPr>
            <w:tcW w:w="4088" w:type="dxa"/>
            <w:gridSpan w:val="2"/>
          </w:tcPr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materiales</w:t>
            </w:r>
          </w:p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viajes de tierra</w:t>
            </w:r>
          </w:p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desazolve</w:t>
            </w:r>
          </w:p>
        </w:tc>
        <w:tc>
          <w:tcPr>
            <w:tcW w:w="4740" w:type="dxa"/>
            <w:gridSpan w:val="3"/>
            <w:vMerge/>
          </w:tcPr>
          <w:p w:rsidR="00F14AB2" w:rsidRDefault="00F14AB2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F14AB2" w:rsidRDefault="00B913AB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Totales:</w:t>
            </w:r>
            <w:r w:rsidR="00F14AB2">
              <w:rPr>
                <w:rFonts w:ascii="Arial" w:hAnsi="Arial" w:cs="Arial"/>
                <w:b/>
                <w:sz w:val="20"/>
                <w:szCs w:val="20"/>
              </w:rPr>
              <w:t xml:space="preserve"> Extracción de desazolve 622.4 m3</w:t>
            </w:r>
          </w:p>
          <w:p w:rsidR="00F14AB2" w:rsidRDefault="00FB1661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F14AB2">
              <w:rPr>
                <w:rFonts w:ascii="Arial" w:hAnsi="Arial" w:cs="Arial"/>
                <w:b/>
                <w:sz w:val="20"/>
                <w:szCs w:val="20"/>
              </w:rPr>
              <w:t>Carga de materiales 58 viajes (812 m3)</w:t>
            </w:r>
          </w:p>
          <w:p w:rsidR="00F14AB2" w:rsidRPr="00094D35" w:rsidRDefault="00F14AB2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B913AB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Motoconformador488a</w:t>
            </w:r>
          </w:p>
        </w:tc>
      </w:tr>
      <w:tr w:rsidR="00F14AB2" w:rsidRPr="00094D35" w:rsidTr="00001C23">
        <w:tc>
          <w:tcPr>
            <w:tcW w:w="4390" w:type="dxa"/>
            <w:gridSpan w:val="3"/>
          </w:tcPr>
          <w:p w:rsidR="00F14AB2" w:rsidRPr="00094D35" w:rsidRDefault="00F14AB2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438" w:type="dxa"/>
            <w:gridSpan w:val="2"/>
          </w:tcPr>
          <w:p w:rsidR="00F14AB2" w:rsidRPr="00094D35" w:rsidRDefault="00F14AB2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</w:tr>
      <w:tr w:rsidR="00F14AB2" w:rsidRPr="00094D35" w:rsidTr="007D04C6">
        <w:trPr>
          <w:trHeight w:val="700"/>
        </w:trPr>
        <w:tc>
          <w:tcPr>
            <w:tcW w:w="4390" w:type="dxa"/>
            <w:gridSpan w:val="3"/>
          </w:tcPr>
          <w:p w:rsidR="00F14AB2" w:rsidRPr="00094D35" w:rsidRDefault="00F14AB2" w:rsidP="002E3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7,600 m (7.6 Km) con un área de 69,400 m2.</w:t>
            </w:r>
          </w:p>
        </w:tc>
        <w:tc>
          <w:tcPr>
            <w:tcW w:w="4438" w:type="dxa"/>
            <w:gridSpan w:val="2"/>
          </w:tcPr>
          <w:p w:rsidR="00F14AB2" w:rsidRPr="00094D35" w:rsidRDefault="00F14AB2" w:rsidP="00F14A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Nivelación de 300m (0.3 Km) con un área de 3,600 m2. </w:t>
            </w: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F14AB2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Nivelación de 7,900 m (7.9 Km) con un área de 73,000 m2.</w:t>
            </w: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Default="00B913AB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Excavadora 217</w:t>
            </w:r>
          </w:p>
        </w:tc>
      </w:tr>
      <w:tr w:rsidR="00B913AB" w:rsidRPr="00094D35" w:rsidTr="002E39B5">
        <w:trPr>
          <w:trHeight w:val="238"/>
        </w:trPr>
        <w:tc>
          <w:tcPr>
            <w:tcW w:w="8828" w:type="dxa"/>
            <w:gridSpan w:val="5"/>
          </w:tcPr>
          <w:p w:rsidR="007C7307" w:rsidRPr="007C7307" w:rsidRDefault="00F14AB2" w:rsidP="007C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07">
              <w:rPr>
                <w:rFonts w:ascii="Arial" w:hAnsi="Arial" w:cs="Arial"/>
                <w:sz w:val="20"/>
                <w:szCs w:val="20"/>
              </w:rPr>
              <w:t>Conformac</w:t>
            </w:r>
            <w:r w:rsidR="007C7307" w:rsidRPr="007C7307">
              <w:rPr>
                <w:rFonts w:ascii="Arial" w:hAnsi="Arial" w:cs="Arial"/>
                <w:sz w:val="20"/>
                <w:szCs w:val="20"/>
              </w:rPr>
              <w:t>ión de bordos y taludes en una distancia de 5,170 m, extracción de 10,340 m3 azolve del Arroyo Seco.</w:t>
            </w:r>
          </w:p>
          <w:p w:rsidR="007C7307" w:rsidRPr="002E28E0" w:rsidRDefault="007C7307" w:rsidP="007C7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B913AB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5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B913AB" w:rsidRPr="00094D35" w:rsidTr="002E39B5">
        <w:tc>
          <w:tcPr>
            <w:tcW w:w="2972" w:type="dxa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  <w:gridSpan w:val="3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1" w:type="dxa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</w:tc>
      </w:tr>
      <w:tr w:rsidR="00B913AB" w:rsidRPr="00094D35" w:rsidTr="002E39B5">
        <w:trPr>
          <w:trHeight w:val="154"/>
        </w:trPr>
        <w:tc>
          <w:tcPr>
            <w:tcW w:w="2972" w:type="dxa"/>
          </w:tcPr>
          <w:p w:rsidR="00B913AB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viajes de tierra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desazolve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pre – criba de grava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7C7307" w:rsidRPr="00F25993" w:rsidRDefault="007C7307" w:rsidP="00A03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B66">
              <w:rPr>
                <w:rFonts w:ascii="Arial" w:hAnsi="Arial" w:cs="Arial"/>
                <w:sz w:val="20"/>
                <w:szCs w:val="20"/>
              </w:rPr>
              <w:t xml:space="preserve"> viajes de polvillo</w:t>
            </w:r>
          </w:p>
        </w:tc>
        <w:tc>
          <w:tcPr>
            <w:tcW w:w="2835" w:type="dxa"/>
            <w:gridSpan w:val="3"/>
          </w:tcPr>
          <w:p w:rsidR="00B913AB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tierra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viajes de desazolve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viajes de pre – criba de grava 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7C7307" w:rsidRPr="00995150" w:rsidRDefault="007C7307" w:rsidP="00A03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polvillo</w:t>
            </w:r>
          </w:p>
        </w:tc>
        <w:tc>
          <w:tcPr>
            <w:tcW w:w="3021" w:type="dxa"/>
          </w:tcPr>
          <w:p w:rsidR="00B913AB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viajes de tierra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viajes de desazolve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</w:p>
          <w:p w:rsidR="007C7307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pre – criba de grava</w:t>
            </w:r>
          </w:p>
          <w:p w:rsidR="007C7307" w:rsidRDefault="007C7307" w:rsidP="007C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7C7307" w:rsidRDefault="007C7307" w:rsidP="007C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polvillo</w:t>
            </w:r>
          </w:p>
          <w:p w:rsidR="007C7307" w:rsidRPr="00995150" w:rsidRDefault="007C7307" w:rsidP="007C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14 viajes (196 m3)</w:t>
            </w:r>
          </w:p>
        </w:tc>
      </w:tr>
      <w:tr w:rsidR="00B913AB" w:rsidRPr="00094D35" w:rsidTr="002E39B5">
        <w:trPr>
          <w:trHeight w:val="154"/>
        </w:trPr>
        <w:tc>
          <w:tcPr>
            <w:tcW w:w="2972" w:type="dxa"/>
          </w:tcPr>
          <w:p w:rsidR="00B913AB" w:rsidRPr="00F25993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12 viajes (168 m3)</w:t>
            </w:r>
          </w:p>
        </w:tc>
        <w:tc>
          <w:tcPr>
            <w:tcW w:w="2835" w:type="dxa"/>
            <w:gridSpan w:val="3"/>
          </w:tcPr>
          <w:p w:rsidR="00B913AB" w:rsidRPr="00995150" w:rsidRDefault="007C7307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15 viajes (210 m3)</w:t>
            </w:r>
          </w:p>
        </w:tc>
        <w:tc>
          <w:tcPr>
            <w:tcW w:w="3021" w:type="dxa"/>
          </w:tcPr>
          <w:p w:rsidR="00B913AB" w:rsidRPr="00995150" w:rsidRDefault="00A03B66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14 viajes (196 m3)</w:t>
            </w:r>
          </w:p>
        </w:tc>
      </w:tr>
      <w:tr w:rsidR="00B913AB" w:rsidRPr="00094D35" w:rsidTr="002E39B5">
        <w:trPr>
          <w:trHeight w:val="166"/>
        </w:trPr>
        <w:tc>
          <w:tcPr>
            <w:tcW w:w="8828" w:type="dxa"/>
            <w:gridSpan w:val="5"/>
          </w:tcPr>
          <w:p w:rsidR="00B913AB" w:rsidRPr="00094D35" w:rsidRDefault="00A03B66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41 viajes (574 m3)</w:t>
            </w:r>
          </w:p>
        </w:tc>
      </w:tr>
    </w:tbl>
    <w:p w:rsidR="00B913AB" w:rsidRDefault="00B913AB" w:rsidP="00B913AB"/>
    <w:p w:rsidR="00737B00" w:rsidRDefault="00737B00" w:rsidP="00B913AB"/>
    <w:p w:rsidR="00737B00" w:rsidRDefault="00737B00" w:rsidP="00B913AB"/>
    <w:p w:rsidR="00737B00" w:rsidRDefault="00737B00" w:rsidP="00B913AB"/>
    <w:p w:rsidR="00737B00" w:rsidRDefault="00737B00" w:rsidP="00B913AB"/>
    <w:p w:rsidR="00737B00" w:rsidRDefault="00737B00" w:rsidP="00B913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116"/>
        <w:gridCol w:w="1719"/>
        <w:gridCol w:w="651"/>
        <w:gridCol w:w="2370"/>
      </w:tblGrid>
      <w:tr w:rsidR="00737B00" w:rsidRPr="00094D35" w:rsidTr="00CD4A80">
        <w:tc>
          <w:tcPr>
            <w:tcW w:w="8828" w:type="dxa"/>
            <w:gridSpan w:val="5"/>
          </w:tcPr>
          <w:p w:rsidR="0047518B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Programa de Contingencias 2018 </w:t>
            </w:r>
          </w:p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(En vinculación con Protección Civil y Obras </w:t>
            </w:r>
            <w:r w:rsidR="0047518B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737B00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Retroexcavadora 489</w:t>
            </w:r>
          </w:p>
        </w:tc>
      </w:tr>
      <w:tr w:rsidR="00AC2D62" w:rsidRPr="00094D35" w:rsidTr="00831930">
        <w:tc>
          <w:tcPr>
            <w:tcW w:w="4088" w:type="dxa"/>
            <w:gridSpan w:val="2"/>
          </w:tcPr>
          <w:p w:rsidR="00AC2D62" w:rsidRPr="00094D35" w:rsidRDefault="00AC2D62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 Anita</w:t>
            </w:r>
          </w:p>
        </w:tc>
        <w:tc>
          <w:tcPr>
            <w:tcW w:w="2370" w:type="dxa"/>
            <w:gridSpan w:val="2"/>
          </w:tcPr>
          <w:p w:rsidR="00AC2D62" w:rsidRPr="00094D35" w:rsidRDefault="00AC2D62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  <w:tc>
          <w:tcPr>
            <w:tcW w:w="2370" w:type="dxa"/>
          </w:tcPr>
          <w:p w:rsidR="00AC2D62" w:rsidRPr="00094D35" w:rsidRDefault="00AC2D62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José de Tateposco.</w:t>
            </w:r>
          </w:p>
        </w:tc>
      </w:tr>
      <w:tr w:rsidR="00AC2D62" w:rsidRPr="00094D35" w:rsidTr="00C52AC7">
        <w:trPr>
          <w:trHeight w:val="182"/>
        </w:trPr>
        <w:tc>
          <w:tcPr>
            <w:tcW w:w="4088" w:type="dxa"/>
            <w:gridSpan w:val="2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 de Absorción</w:t>
            </w:r>
          </w:p>
          <w:p w:rsidR="00AC2D62" w:rsidRPr="00094D35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13 pozos rústicos se extrajeron 284.3 m3.</w:t>
            </w:r>
          </w:p>
        </w:tc>
        <w:tc>
          <w:tcPr>
            <w:tcW w:w="2370" w:type="dxa"/>
            <w:gridSpan w:val="2"/>
            <w:vMerge w:val="restart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de material</w:t>
            </w:r>
          </w:p>
          <w:p w:rsidR="00AC2D62" w:rsidRPr="00094D35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m3 de pre – criba de grava.</w:t>
            </w:r>
          </w:p>
        </w:tc>
        <w:tc>
          <w:tcPr>
            <w:tcW w:w="2370" w:type="dxa"/>
            <w:vMerge w:val="restart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materiales</w:t>
            </w:r>
          </w:p>
          <w:p w:rsidR="00AC2D62" w:rsidRPr="00094D35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viajes de desazolve (434 m3)</w:t>
            </w:r>
          </w:p>
        </w:tc>
      </w:tr>
      <w:tr w:rsidR="00AC2D62" w:rsidRPr="00094D35" w:rsidTr="00C52AC7">
        <w:trPr>
          <w:trHeight w:val="182"/>
        </w:trPr>
        <w:tc>
          <w:tcPr>
            <w:tcW w:w="4088" w:type="dxa"/>
            <w:gridSpan w:val="2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Desazolve de Drenes parcelarios para conducción de agua pluvial</w:t>
            </w:r>
          </w:p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una distancia de 490 m (04 Km), se extrajeron 196 m3</w:t>
            </w:r>
          </w:p>
        </w:tc>
        <w:tc>
          <w:tcPr>
            <w:tcW w:w="2370" w:type="dxa"/>
            <w:gridSpan w:val="2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62" w:rsidRPr="00094D35" w:rsidTr="00C52AC7">
        <w:trPr>
          <w:trHeight w:val="123"/>
        </w:trPr>
        <w:tc>
          <w:tcPr>
            <w:tcW w:w="4088" w:type="dxa"/>
            <w:gridSpan w:val="2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material</w:t>
            </w:r>
          </w:p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viajes de desazolve (196 m3)</w:t>
            </w:r>
          </w:p>
        </w:tc>
        <w:tc>
          <w:tcPr>
            <w:tcW w:w="2370" w:type="dxa"/>
            <w:gridSpan w:val="2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62" w:rsidRPr="00094D35" w:rsidTr="00C52AC7">
        <w:trPr>
          <w:trHeight w:val="122"/>
        </w:trPr>
        <w:tc>
          <w:tcPr>
            <w:tcW w:w="4088" w:type="dxa"/>
            <w:gridSpan w:val="2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de material</w:t>
            </w:r>
          </w:p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m3 de tierra</w:t>
            </w:r>
          </w:p>
        </w:tc>
        <w:tc>
          <w:tcPr>
            <w:tcW w:w="2370" w:type="dxa"/>
            <w:gridSpan w:val="2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62" w:rsidRPr="00094D35" w:rsidTr="00E4152D">
        <w:trPr>
          <w:trHeight w:val="122"/>
        </w:trPr>
        <w:tc>
          <w:tcPr>
            <w:tcW w:w="4088" w:type="dxa"/>
            <w:gridSpan w:val="2"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Reforzar bordo</w:t>
            </w:r>
          </w:p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 lineales de bordo de parcela adjunta dren pluvial.</w:t>
            </w:r>
          </w:p>
        </w:tc>
        <w:tc>
          <w:tcPr>
            <w:tcW w:w="2370" w:type="dxa"/>
            <w:gridSpan w:val="2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AC2D62" w:rsidRDefault="00AC2D62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AC2D62" w:rsidRDefault="00AC2D62" w:rsidP="0073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Totales: Extracción de azolve </w:t>
            </w:r>
            <w:r w:rsidR="00FB1661">
              <w:rPr>
                <w:rFonts w:ascii="Arial" w:hAnsi="Arial" w:cs="Arial"/>
                <w:b/>
                <w:sz w:val="20"/>
                <w:szCs w:val="20"/>
              </w:rPr>
              <w:t>480.3 m3</w:t>
            </w:r>
          </w:p>
          <w:p w:rsidR="00FB1661" w:rsidRDefault="00FB1661" w:rsidP="0073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Carga 45 viajes (630 m3)</w:t>
            </w:r>
          </w:p>
          <w:p w:rsidR="00FB1661" w:rsidRPr="00094D35" w:rsidRDefault="00FB1661" w:rsidP="0073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Extensión 326 m3</w:t>
            </w: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737B00" w:rsidRPr="00094D35" w:rsidRDefault="00737B00" w:rsidP="00CD4A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737B00" w:rsidRPr="00094D35" w:rsidTr="00CD4A80">
        <w:tc>
          <w:tcPr>
            <w:tcW w:w="2972" w:type="dxa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  <w:gridSpan w:val="2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1" w:type="dxa"/>
            <w:gridSpan w:val="2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</w:tc>
      </w:tr>
      <w:tr w:rsidR="00737B00" w:rsidRPr="00094D35" w:rsidTr="00CD4A80">
        <w:trPr>
          <w:trHeight w:val="154"/>
        </w:trPr>
        <w:tc>
          <w:tcPr>
            <w:tcW w:w="2972" w:type="dxa"/>
          </w:tcPr>
          <w:p w:rsidR="00737B00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  <w:p w:rsidR="00CD20EB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viajes de desazolve</w:t>
            </w:r>
          </w:p>
          <w:p w:rsidR="00CD20EB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CD20EB" w:rsidRPr="00F25993" w:rsidRDefault="00CD20EB" w:rsidP="00CD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viajes de desazolve</w:t>
            </w:r>
          </w:p>
        </w:tc>
        <w:tc>
          <w:tcPr>
            <w:tcW w:w="2835" w:type="dxa"/>
            <w:gridSpan w:val="2"/>
          </w:tcPr>
          <w:p w:rsidR="00737B00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  <w:p w:rsidR="00CD20EB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desazolve</w:t>
            </w:r>
          </w:p>
          <w:p w:rsidR="00CD20EB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CD20EB" w:rsidRPr="00995150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viajes de desazolve</w:t>
            </w:r>
          </w:p>
        </w:tc>
        <w:tc>
          <w:tcPr>
            <w:tcW w:w="3021" w:type="dxa"/>
            <w:gridSpan w:val="2"/>
          </w:tcPr>
          <w:p w:rsidR="00737B00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  <w:p w:rsidR="00CD20EB" w:rsidRDefault="00CD20EB" w:rsidP="00CD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viajes de desazolve</w:t>
            </w:r>
          </w:p>
          <w:p w:rsidR="00CD20EB" w:rsidRDefault="00CD20EB" w:rsidP="00CD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CD20EB" w:rsidRPr="00995150" w:rsidRDefault="00CD20EB" w:rsidP="00CD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viajes de desazolve </w:t>
            </w:r>
          </w:p>
        </w:tc>
      </w:tr>
      <w:tr w:rsidR="00737B00" w:rsidRPr="00094D35" w:rsidTr="00CD4A80">
        <w:trPr>
          <w:trHeight w:val="154"/>
        </w:trPr>
        <w:tc>
          <w:tcPr>
            <w:tcW w:w="2972" w:type="dxa"/>
          </w:tcPr>
          <w:p w:rsidR="00737B00" w:rsidRPr="00F25993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viajes (336 m3)</w:t>
            </w:r>
          </w:p>
        </w:tc>
        <w:tc>
          <w:tcPr>
            <w:tcW w:w="2835" w:type="dxa"/>
            <w:gridSpan w:val="2"/>
          </w:tcPr>
          <w:p w:rsidR="00737B00" w:rsidRPr="00995150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viajes (322 m3)</w:t>
            </w:r>
          </w:p>
        </w:tc>
        <w:tc>
          <w:tcPr>
            <w:tcW w:w="3021" w:type="dxa"/>
            <w:gridSpan w:val="2"/>
          </w:tcPr>
          <w:p w:rsidR="00737B00" w:rsidRPr="00995150" w:rsidRDefault="00CD20EB" w:rsidP="00CD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viajes (336 m3)</w:t>
            </w:r>
          </w:p>
        </w:tc>
      </w:tr>
      <w:tr w:rsidR="00737B00" w:rsidRPr="00094D35" w:rsidTr="00CD4A80">
        <w:trPr>
          <w:trHeight w:val="166"/>
        </w:trPr>
        <w:tc>
          <w:tcPr>
            <w:tcW w:w="8828" w:type="dxa"/>
            <w:gridSpan w:val="5"/>
          </w:tcPr>
          <w:p w:rsidR="00737B00" w:rsidRPr="00094D35" w:rsidRDefault="00CD20EB" w:rsidP="00CD4A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73 viajes de desazolve (1,022 m3)</w:t>
            </w:r>
          </w:p>
        </w:tc>
      </w:tr>
    </w:tbl>
    <w:p w:rsidR="00B913AB" w:rsidRDefault="00B913AB" w:rsidP="00B913AB">
      <w:pPr>
        <w:rPr>
          <w:rFonts w:ascii="Arial" w:hAnsi="Arial" w:cs="Arial"/>
          <w:b/>
          <w:sz w:val="24"/>
          <w:szCs w:val="24"/>
        </w:rPr>
      </w:pPr>
    </w:p>
    <w:p w:rsidR="00B913AB" w:rsidRDefault="0099095C" w:rsidP="00B913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de Desarrollo Rural Sustentable</w:t>
      </w:r>
    </w:p>
    <w:p w:rsidR="0099095C" w:rsidRDefault="0099095C" w:rsidP="00B913AB">
      <w:pPr>
        <w:rPr>
          <w:rFonts w:ascii="Arial" w:hAnsi="Arial" w:cs="Arial"/>
          <w:sz w:val="24"/>
          <w:szCs w:val="24"/>
        </w:rPr>
      </w:pPr>
      <w:r w:rsidRPr="0099095C">
        <w:rPr>
          <w:rFonts w:ascii="Arial" w:hAnsi="Arial" w:cs="Arial"/>
          <w:sz w:val="24"/>
          <w:szCs w:val="24"/>
        </w:rPr>
        <w:t xml:space="preserve">Organización y desarrollo de la 4ta reunión ordinario del Consejo Municipal de Desarrollo Rural Sustentable de San Pedro Tlaquepaque, </w:t>
      </w:r>
      <w:r>
        <w:rPr>
          <w:rFonts w:ascii="Arial" w:hAnsi="Arial" w:cs="Arial"/>
          <w:sz w:val="24"/>
          <w:szCs w:val="24"/>
        </w:rPr>
        <w:t xml:space="preserve">en la Casa Ejidal de San Sebastianito, el 12 de Junio a las 12:30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095C" w:rsidRPr="0099095C" w:rsidRDefault="0099095C" w:rsidP="00B913AB">
      <w:pPr>
        <w:rPr>
          <w:rFonts w:ascii="Arial" w:hAnsi="Arial" w:cs="Arial"/>
          <w:sz w:val="24"/>
          <w:szCs w:val="24"/>
        </w:rPr>
      </w:pPr>
    </w:p>
    <w:p w:rsidR="00B913AB" w:rsidRPr="001B1F09" w:rsidRDefault="00B913AB" w:rsidP="00B913AB">
      <w:pPr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t>Consejo Distrital</w:t>
      </w:r>
    </w:p>
    <w:p w:rsidR="00B913AB" w:rsidRDefault="00B913AB" w:rsidP="00B913AB">
      <w:pPr>
        <w:jc w:val="both"/>
        <w:rPr>
          <w:rFonts w:ascii="Arial" w:hAnsi="Arial" w:cs="Arial"/>
          <w:sz w:val="24"/>
          <w:szCs w:val="24"/>
        </w:rPr>
      </w:pPr>
      <w:r w:rsidRPr="001B1F0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istencia y participación en la Reunión O</w:t>
      </w:r>
      <w:r w:rsidRPr="001B1F09">
        <w:rPr>
          <w:rFonts w:ascii="Arial" w:hAnsi="Arial" w:cs="Arial"/>
          <w:sz w:val="24"/>
          <w:szCs w:val="24"/>
        </w:rPr>
        <w:t>rdinaria del Consejo Distrital de Desarrollo Rural Sustentable del Distrito 01, con el reporte de la Vida Organizativa del Consejo Municipal de Desarrollo Rural Suste</w:t>
      </w:r>
      <w:r>
        <w:rPr>
          <w:rFonts w:ascii="Arial" w:hAnsi="Arial" w:cs="Arial"/>
          <w:sz w:val="24"/>
          <w:szCs w:val="24"/>
        </w:rPr>
        <w:t>ntable de San Pe</w:t>
      </w:r>
      <w:r w:rsidR="00A03B66">
        <w:rPr>
          <w:rFonts w:ascii="Arial" w:hAnsi="Arial" w:cs="Arial"/>
          <w:sz w:val="24"/>
          <w:szCs w:val="24"/>
        </w:rPr>
        <w:t>dro Tlaquepaque, celebrada el 28 de junio</w:t>
      </w:r>
      <w:r>
        <w:rPr>
          <w:rFonts w:ascii="Arial" w:hAnsi="Arial" w:cs="Arial"/>
          <w:sz w:val="24"/>
          <w:szCs w:val="24"/>
        </w:rPr>
        <w:t xml:space="preserve"> de 2018, en el Casa de la Cultura Municipal </w:t>
      </w:r>
      <w:r w:rsidR="00A03B66">
        <w:rPr>
          <w:rFonts w:ascii="Arial" w:hAnsi="Arial" w:cs="Arial"/>
          <w:sz w:val="24"/>
          <w:szCs w:val="24"/>
        </w:rPr>
        <w:t>de El Salto Jalisco</w:t>
      </w:r>
      <w:r>
        <w:rPr>
          <w:rFonts w:ascii="Arial" w:hAnsi="Arial" w:cs="Arial"/>
          <w:sz w:val="24"/>
          <w:szCs w:val="24"/>
        </w:rPr>
        <w:t>.</w:t>
      </w:r>
    </w:p>
    <w:p w:rsidR="00B913AB" w:rsidRDefault="00B913AB" w:rsidP="00B913AB">
      <w:pPr>
        <w:jc w:val="both"/>
        <w:rPr>
          <w:rFonts w:ascii="Arial" w:hAnsi="Arial" w:cs="Arial"/>
          <w:sz w:val="24"/>
          <w:szCs w:val="24"/>
        </w:rPr>
      </w:pPr>
    </w:p>
    <w:p w:rsidR="0099095C" w:rsidRDefault="0099095C" w:rsidP="00B913AB">
      <w:pPr>
        <w:jc w:val="both"/>
        <w:rPr>
          <w:rFonts w:ascii="Arial" w:hAnsi="Arial" w:cs="Arial"/>
          <w:sz w:val="24"/>
          <w:szCs w:val="24"/>
        </w:rPr>
      </w:pPr>
    </w:p>
    <w:p w:rsidR="0099095C" w:rsidRPr="00B913AB" w:rsidRDefault="0099095C" w:rsidP="00B913AB">
      <w:pPr>
        <w:jc w:val="both"/>
        <w:rPr>
          <w:rFonts w:ascii="Arial" w:hAnsi="Arial" w:cs="Arial"/>
          <w:sz w:val="24"/>
          <w:szCs w:val="24"/>
        </w:rPr>
      </w:pPr>
    </w:p>
    <w:p w:rsidR="009163E0" w:rsidRDefault="00B913AB" w:rsidP="00B913AB">
      <w:pPr>
        <w:jc w:val="center"/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lastRenderedPageBreak/>
        <w:t>Unidades Cooperativas</w:t>
      </w:r>
    </w:p>
    <w:p w:rsidR="0099095C" w:rsidRDefault="0099095C" w:rsidP="009909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Centros de Gestión</w:t>
      </w:r>
    </w:p>
    <w:p w:rsidR="0099095C" w:rsidRDefault="0099095C" w:rsidP="0099095C">
      <w:pPr>
        <w:jc w:val="both"/>
        <w:rPr>
          <w:rFonts w:ascii="Arial" w:hAnsi="Arial" w:cs="Arial"/>
          <w:sz w:val="24"/>
          <w:szCs w:val="24"/>
        </w:rPr>
      </w:pPr>
      <w:r w:rsidRPr="00591490">
        <w:rPr>
          <w:rFonts w:ascii="Arial" w:hAnsi="Arial" w:cs="Arial"/>
          <w:sz w:val="24"/>
          <w:szCs w:val="24"/>
        </w:rPr>
        <w:t>Reunión con Ejecutivo de ventas de empresa comercializadora de productos herbolarios, para lograr un posible contrato con el Grupo Herbolaria de San Martín.</w:t>
      </w:r>
    </w:p>
    <w:p w:rsidR="0099095C" w:rsidRDefault="0099095C" w:rsidP="0099095C">
      <w:pPr>
        <w:jc w:val="both"/>
        <w:rPr>
          <w:rFonts w:ascii="Arial" w:hAnsi="Arial" w:cs="Arial"/>
          <w:b/>
          <w:sz w:val="24"/>
          <w:szCs w:val="24"/>
        </w:rPr>
      </w:pPr>
      <w:r w:rsidRPr="00591490">
        <w:rPr>
          <w:rFonts w:ascii="Arial" w:hAnsi="Arial" w:cs="Arial"/>
          <w:sz w:val="24"/>
          <w:szCs w:val="24"/>
        </w:rPr>
        <w:t>Reunión en la Coordinación de Desarrollo Económico para concretar la capacitación de la Secretaria del Trabajo para el Grupo Herbolaria de San Martín.</w:t>
      </w:r>
    </w:p>
    <w:p w:rsidR="0099095C" w:rsidRDefault="0099095C" w:rsidP="0099095C">
      <w:pPr>
        <w:jc w:val="both"/>
        <w:rPr>
          <w:rFonts w:ascii="Arial" w:hAnsi="Arial" w:cs="Arial"/>
          <w:b/>
          <w:sz w:val="24"/>
          <w:szCs w:val="24"/>
        </w:rPr>
      </w:pPr>
      <w:r w:rsidRPr="00591490">
        <w:rPr>
          <w:rFonts w:ascii="Arial" w:hAnsi="Arial" w:cs="Arial"/>
          <w:sz w:val="24"/>
          <w:szCs w:val="24"/>
        </w:rPr>
        <w:t>Elaboración de Reglas de Operación para el Proyecto Centros de Gestión de la Coordinación de Desarrollo Económico y Combate a la Desigualdad.</w:t>
      </w:r>
    </w:p>
    <w:p w:rsidR="0099095C" w:rsidRDefault="0099095C" w:rsidP="009909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Redacción de reglas de operación para el Programa de Huertos Familiares 2019.</w:t>
      </w:r>
    </w:p>
    <w:p w:rsidR="0099095C" w:rsidRDefault="0099095C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Redacción de reglas de operación para el Programa Centros de Gestión 2019.</w:t>
      </w:r>
    </w:p>
    <w:p w:rsidR="0099095C" w:rsidRDefault="0099095C" w:rsidP="0099095C">
      <w:pPr>
        <w:rPr>
          <w:rFonts w:ascii="Arial" w:hAnsi="Arial" w:cs="Arial"/>
          <w:sz w:val="24"/>
          <w:szCs w:val="24"/>
        </w:rPr>
      </w:pPr>
      <w:r w:rsidRPr="00591490">
        <w:rPr>
          <w:rFonts w:ascii="Arial" w:hAnsi="Arial" w:cs="Arial"/>
          <w:sz w:val="24"/>
          <w:szCs w:val="24"/>
        </w:rPr>
        <w:t>Asistencia a la Reunión de Adquisiciones del Centro Universitario de Ciencias Biológicas y Agropecuarias.</w:t>
      </w:r>
    </w:p>
    <w:p w:rsidR="0099095C" w:rsidRPr="00B913AB" w:rsidRDefault="0099095C" w:rsidP="0099095C">
      <w:pPr>
        <w:rPr>
          <w:rFonts w:ascii="Arial" w:hAnsi="Arial" w:cs="Arial"/>
          <w:b/>
          <w:sz w:val="24"/>
          <w:szCs w:val="24"/>
        </w:rPr>
      </w:pPr>
      <w:r w:rsidRPr="00591490">
        <w:rPr>
          <w:rFonts w:ascii="Arial" w:hAnsi="Arial" w:cs="Arial"/>
          <w:sz w:val="24"/>
          <w:szCs w:val="24"/>
        </w:rPr>
        <w:t>Asistencia a la conferencia de Comercio Exterior impartida por el Lic. Soriano, en el Centro cultural El Refugio.</w:t>
      </w:r>
    </w:p>
    <w:sectPr w:rsidR="0099095C" w:rsidRPr="00B91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AB"/>
    <w:rsid w:val="0027608B"/>
    <w:rsid w:val="0047518B"/>
    <w:rsid w:val="00737B00"/>
    <w:rsid w:val="007C7307"/>
    <w:rsid w:val="009163E0"/>
    <w:rsid w:val="0099095C"/>
    <w:rsid w:val="00A03B66"/>
    <w:rsid w:val="00AC2D62"/>
    <w:rsid w:val="00B913AB"/>
    <w:rsid w:val="00CD20EB"/>
    <w:rsid w:val="00F14AB2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0DB2-AA61-4EE1-8144-DAFE287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4</cp:revision>
  <dcterms:created xsi:type="dcterms:W3CDTF">2018-07-18T16:35:00Z</dcterms:created>
  <dcterms:modified xsi:type="dcterms:W3CDTF">2018-07-20T17:41:00Z</dcterms:modified>
</cp:coreProperties>
</file>