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0F" w:rsidRPr="0031188B" w:rsidRDefault="00A5480F" w:rsidP="00A548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 Febrero 2019</w:t>
      </w:r>
    </w:p>
    <w:p w:rsidR="00A5480F" w:rsidRPr="0031188B" w:rsidRDefault="00A5480F" w:rsidP="00A5480F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9"/>
        <w:gridCol w:w="215"/>
        <w:gridCol w:w="2693"/>
        <w:gridCol w:w="284"/>
        <w:gridCol w:w="2737"/>
      </w:tblGrid>
      <w:tr w:rsidR="00A5480F" w:rsidRPr="00887DDE" w:rsidTr="00BD6181">
        <w:tc>
          <w:tcPr>
            <w:tcW w:w="8828" w:type="dxa"/>
            <w:gridSpan w:val="5"/>
          </w:tcPr>
          <w:p w:rsidR="00A5480F" w:rsidRPr="00887DDE" w:rsidRDefault="00A5480F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7DDE">
              <w:rPr>
                <w:rFonts w:ascii="Arial" w:hAnsi="Arial" w:cs="Arial"/>
                <w:b/>
                <w:sz w:val="20"/>
                <w:szCs w:val="20"/>
              </w:rPr>
              <w:t>Motoconformadora</w:t>
            </w:r>
            <w:proofErr w:type="spellEnd"/>
            <w:r w:rsidRPr="00887DDE">
              <w:rPr>
                <w:rFonts w:ascii="Arial" w:hAnsi="Arial" w:cs="Arial"/>
                <w:b/>
                <w:sz w:val="20"/>
                <w:szCs w:val="20"/>
              </w:rPr>
              <w:t xml:space="preserve"> No. Eco. 488</w:t>
            </w:r>
          </w:p>
        </w:tc>
      </w:tr>
      <w:tr w:rsidR="004D5399" w:rsidRPr="00887DDE" w:rsidTr="004D5399">
        <w:tc>
          <w:tcPr>
            <w:tcW w:w="3114" w:type="dxa"/>
            <w:gridSpan w:val="2"/>
          </w:tcPr>
          <w:p w:rsidR="004D5399" w:rsidRPr="00887DDE" w:rsidRDefault="004D5399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Los Puestos</w:t>
            </w:r>
          </w:p>
          <w:p w:rsidR="004D5399" w:rsidRPr="00887DDE" w:rsidRDefault="004D5399" w:rsidP="00887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Nivelación de 1.1 Km de vialidades rurales.</w:t>
            </w:r>
          </w:p>
        </w:tc>
        <w:tc>
          <w:tcPr>
            <w:tcW w:w="2977" w:type="dxa"/>
            <w:gridSpan w:val="2"/>
          </w:tcPr>
          <w:p w:rsidR="004D5399" w:rsidRPr="00887DDE" w:rsidRDefault="004D5399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San Martín de las Flores</w:t>
            </w:r>
          </w:p>
          <w:p w:rsidR="004D5399" w:rsidRPr="00887DDE" w:rsidRDefault="004D5399" w:rsidP="00887DDE">
            <w:pPr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Nivelación de 5.1 Km de vialidades rurales.</w:t>
            </w:r>
          </w:p>
        </w:tc>
        <w:tc>
          <w:tcPr>
            <w:tcW w:w="2737" w:type="dxa"/>
          </w:tcPr>
          <w:p w:rsidR="004D5399" w:rsidRPr="00887DDE" w:rsidRDefault="004D5399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San José de Tateposco</w:t>
            </w:r>
          </w:p>
          <w:p w:rsidR="004D5399" w:rsidRPr="00887DDE" w:rsidRDefault="004D5399" w:rsidP="00887DDE">
            <w:pPr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Nivelación de .8Km de vialidades rurales.</w:t>
            </w:r>
          </w:p>
        </w:tc>
      </w:tr>
      <w:tr w:rsidR="00A5480F" w:rsidRPr="00887DDE" w:rsidTr="00BD6181">
        <w:tc>
          <w:tcPr>
            <w:tcW w:w="8828" w:type="dxa"/>
            <w:gridSpan w:val="5"/>
          </w:tcPr>
          <w:p w:rsidR="00A5480F" w:rsidRPr="00887DDE" w:rsidRDefault="004D5399" w:rsidP="00BD61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Total: Nivelación de 7 Km de vialidades rurales.</w:t>
            </w:r>
          </w:p>
        </w:tc>
      </w:tr>
      <w:tr w:rsidR="00A5480F" w:rsidRPr="00887DDE" w:rsidTr="00BD6181">
        <w:tc>
          <w:tcPr>
            <w:tcW w:w="8828" w:type="dxa"/>
            <w:gridSpan w:val="5"/>
          </w:tcPr>
          <w:p w:rsidR="00A5480F" w:rsidRPr="00887DDE" w:rsidRDefault="00A5480F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Traslado de materiales</w:t>
            </w:r>
          </w:p>
        </w:tc>
      </w:tr>
      <w:tr w:rsidR="00A5480F" w:rsidRPr="00887DDE" w:rsidTr="00BD6181">
        <w:tc>
          <w:tcPr>
            <w:tcW w:w="2899" w:type="dxa"/>
          </w:tcPr>
          <w:p w:rsidR="00A5480F" w:rsidRPr="00887DDE" w:rsidRDefault="00A5480F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Camión 10</w:t>
            </w:r>
          </w:p>
          <w:p w:rsidR="004D5399" w:rsidRPr="00887DDE" w:rsidRDefault="004D5399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San José de Tateposco</w:t>
            </w:r>
          </w:p>
          <w:p w:rsidR="004D5399" w:rsidRPr="00887DDE" w:rsidRDefault="004D5399" w:rsidP="004D5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9 viajes de tierra (126 m3)</w:t>
            </w:r>
          </w:p>
          <w:p w:rsidR="004D5399" w:rsidRPr="00887DDE" w:rsidRDefault="004D5399" w:rsidP="004D5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D5399" w:rsidRPr="00887DDE" w:rsidRDefault="004D5399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Apoyo a Dirección de Pavimentos</w:t>
            </w:r>
          </w:p>
          <w:p w:rsidR="004D5399" w:rsidRPr="00887DDE" w:rsidRDefault="004D5399" w:rsidP="004D5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4 viajes de jal con arena (56 m3)</w:t>
            </w:r>
          </w:p>
          <w:p w:rsidR="004D5399" w:rsidRPr="00887DDE" w:rsidRDefault="004D5399" w:rsidP="004D5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3 viajes de jal (42 m3)</w:t>
            </w:r>
          </w:p>
          <w:p w:rsidR="004D5399" w:rsidRPr="00887DDE" w:rsidRDefault="004D5399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399" w:rsidRPr="00887DDE" w:rsidRDefault="004D5399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Apoyo a Dirección de Obras Públicas</w:t>
            </w:r>
          </w:p>
          <w:p w:rsidR="004D5399" w:rsidRPr="00887DDE" w:rsidRDefault="004D5399" w:rsidP="004D5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 xml:space="preserve">17 viajes de asfalto reciclado </w:t>
            </w:r>
            <w:r w:rsidRPr="00887DDE">
              <w:rPr>
                <w:rFonts w:ascii="Arial" w:hAnsi="Arial" w:cs="Arial"/>
                <w:sz w:val="20"/>
                <w:szCs w:val="20"/>
              </w:rPr>
              <w:br/>
              <w:t>(238 m3)</w:t>
            </w:r>
          </w:p>
          <w:p w:rsidR="004D5399" w:rsidRPr="00887DDE" w:rsidRDefault="004D5399" w:rsidP="004D5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23 viajes de escombro (322 m3)</w:t>
            </w:r>
          </w:p>
          <w:p w:rsidR="004D5399" w:rsidRPr="00887DDE" w:rsidRDefault="004D5399" w:rsidP="004D5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5399" w:rsidRPr="00887DDE" w:rsidRDefault="004D5399" w:rsidP="004D53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Total: 56 viajes ( 784 m3)</w:t>
            </w:r>
          </w:p>
        </w:tc>
        <w:tc>
          <w:tcPr>
            <w:tcW w:w="2908" w:type="dxa"/>
            <w:gridSpan w:val="2"/>
          </w:tcPr>
          <w:p w:rsidR="00A5480F" w:rsidRPr="00887DDE" w:rsidRDefault="00A5480F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Camión 12</w:t>
            </w:r>
          </w:p>
          <w:p w:rsidR="004D5399" w:rsidRPr="00887DDE" w:rsidRDefault="004D5399" w:rsidP="004D53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San José de Tateposco</w:t>
            </w:r>
          </w:p>
          <w:p w:rsidR="004D5399" w:rsidRPr="00887DDE" w:rsidRDefault="004D5399" w:rsidP="004D5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9 viajes de tierra (126 m3)</w:t>
            </w:r>
          </w:p>
          <w:p w:rsidR="004D5399" w:rsidRPr="00887DDE" w:rsidRDefault="004D5399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399" w:rsidRPr="00887DDE" w:rsidRDefault="004D5399" w:rsidP="004D53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Apoyo a Dirección de Pavimentos</w:t>
            </w:r>
          </w:p>
          <w:p w:rsidR="004D5399" w:rsidRPr="00887DDE" w:rsidRDefault="004D5399" w:rsidP="00D11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4 viajes de jal con arena (56 m3)</w:t>
            </w:r>
          </w:p>
          <w:p w:rsidR="004D5399" w:rsidRPr="00887DDE" w:rsidRDefault="004D5399" w:rsidP="00D11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3 viajes de jal (42 m3)</w:t>
            </w:r>
          </w:p>
          <w:p w:rsidR="004D5399" w:rsidRPr="00887DDE" w:rsidRDefault="004D5399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98" w:rsidRPr="00887DDE" w:rsidRDefault="00D11198" w:rsidP="00D1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Apoyo a Dirección de Obras Públicas</w:t>
            </w:r>
          </w:p>
          <w:p w:rsidR="004D5399" w:rsidRPr="00887DDE" w:rsidRDefault="00D11198" w:rsidP="00D11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 xml:space="preserve">21 viajes de asfalto reciclado </w:t>
            </w:r>
            <w:r w:rsidRPr="00887DDE">
              <w:rPr>
                <w:rFonts w:ascii="Arial" w:hAnsi="Arial" w:cs="Arial"/>
                <w:sz w:val="20"/>
                <w:szCs w:val="20"/>
              </w:rPr>
              <w:br/>
              <w:t>(294 m3)</w:t>
            </w:r>
          </w:p>
          <w:p w:rsidR="00D11198" w:rsidRPr="00887DDE" w:rsidRDefault="00D11198" w:rsidP="00D11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24 viajes de escombro (336 m3)</w:t>
            </w:r>
          </w:p>
          <w:p w:rsidR="00D11198" w:rsidRPr="00887DDE" w:rsidRDefault="00D11198" w:rsidP="00D11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198" w:rsidRPr="00887DDE" w:rsidRDefault="00D11198" w:rsidP="00D11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Total: 61 viajes (854 m3)</w:t>
            </w:r>
          </w:p>
        </w:tc>
        <w:tc>
          <w:tcPr>
            <w:tcW w:w="3021" w:type="dxa"/>
            <w:gridSpan w:val="2"/>
          </w:tcPr>
          <w:p w:rsidR="00A5480F" w:rsidRPr="00887DDE" w:rsidRDefault="00A5480F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Camión 13</w:t>
            </w:r>
          </w:p>
          <w:p w:rsidR="00D11198" w:rsidRPr="00887DDE" w:rsidRDefault="00D11198" w:rsidP="00D1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San José de Tateposco</w:t>
            </w:r>
          </w:p>
          <w:p w:rsidR="00D11198" w:rsidRPr="00887DDE" w:rsidRDefault="00D11198" w:rsidP="00BD6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3 viajes de tierra (42 m3)</w:t>
            </w:r>
          </w:p>
          <w:p w:rsidR="00D11198" w:rsidRPr="00887DDE" w:rsidRDefault="00D11198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98" w:rsidRPr="00887DDE" w:rsidRDefault="00D11198" w:rsidP="00D11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Apoyo a Dirección de Pavimentos</w:t>
            </w:r>
          </w:p>
          <w:p w:rsidR="00D11198" w:rsidRPr="00887DDE" w:rsidRDefault="00D11198" w:rsidP="00D11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4 viajes de jal (56 m3)</w:t>
            </w:r>
          </w:p>
          <w:p w:rsidR="00D11198" w:rsidRPr="00887DDE" w:rsidRDefault="00D11198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98" w:rsidRPr="00887DDE" w:rsidRDefault="00D11198" w:rsidP="00D1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Apoyo a Dirección de Obras Públicas</w:t>
            </w:r>
          </w:p>
          <w:p w:rsidR="00D11198" w:rsidRPr="00887DDE" w:rsidRDefault="00D11198" w:rsidP="00D11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8 viajes de escombro (12 m3)</w:t>
            </w:r>
          </w:p>
          <w:p w:rsidR="00D11198" w:rsidRPr="00887DDE" w:rsidRDefault="00D11198" w:rsidP="00D11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23 viajes de tierra (322 m3)</w:t>
            </w:r>
          </w:p>
          <w:p w:rsidR="00D11198" w:rsidRPr="00887DDE" w:rsidRDefault="00D11198" w:rsidP="00D11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 xml:space="preserve">8 viajes de asfalto reciclado </w:t>
            </w:r>
            <w:r w:rsidRPr="00887DDE">
              <w:rPr>
                <w:rFonts w:ascii="Arial" w:hAnsi="Arial" w:cs="Arial"/>
                <w:sz w:val="20"/>
                <w:szCs w:val="20"/>
              </w:rPr>
              <w:br/>
              <w:t>(112 m3)</w:t>
            </w:r>
          </w:p>
          <w:p w:rsidR="00D11198" w:rsidRPr="00887DDE" w:rsidRDefault="00D11198" w:rsidP="00BD6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198" w:rsidRPr="00887DDE" w:rsidRDefault="00D11198" w:rsidP="00D11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Total: 46 viajes (644 m3)</w:t>
            </w:r>
          </w:p>
        </w:tc>
      </w:tr>
      <w:tr w:rsidR="00A5480F" w:rsidRPr="00887DDE" w:rsidTr="00BD6181">
        <w:tc>
          <w:tcPr>
            <w:tcW w:w="8828" w:type="dxa"/>
            <w:gridSpan w:val="5"/>
          </w:tcPr>
          <w:p w:rsidR="00A5480F" w:rsidRPr="00887DDE" w:rsidRDefault="00D11198" w:rsidP="00BD61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Total: 163 viajes (2,282 m3)</w:t>
            </w:r>
          </w:p>
        </w:tc>
      </w:tr>
    </w:tbl>
    <w:p w:rsidR="00A5480F" w:rsidRDefault="00A5480F" w:rsidP="00A5480F">
      <w:pPr>
        <w:rPr>
          <w:rFonts w:ascii="Arial" w:hAnsi="Arial" w:cs="Arial"/>
          <w:sz w:val="24"/>
          <w:szCs w:val="24"/>
        </w:rPr>
      </w:pPr>
    </w:p>
    <w:p w:rsidR="00D11198" w:rsidRPr="00851044" w:rsidRDefault="00D11198" w:rsidP="00D11198">
      <w:pPr>
        <w:rPr>
          <w:rFonts w:ascii="Arial" w:hAnsi="Arial" w:cs="Arial"/>
          <w:b/>
          <w:sz w:val="24"/>
          <w:szCs w:val="24"/>
        </w:rPr>
      </w:pPr>
      <w:r w:rsidRPr="00851044">
        <w:rPr>
          <w:rFonts w:ascii="Arial" w:hAnsi="Arial" w:cs="Arial"/>
          <w:b/>
          <w:sz w:val="24"/>
          <w:szCs w:val="24"/>
        </w:rPr>
        <w:t xml:space="preserve">Campaña de detección de </w:t>
      </w:r>
      <w:proofErr w:type="spellStart"/>
      <w:r w:rsidRPr="00851044">
        <w:rPr>
          <w:rFonts w:ascii="Arial" w:hAnsi="Arial" w:cs="Arial"/>
          <w:b/>
          <w:i/>
          <w:sz w:val="24"/>
          <w:szCs w:val="24"/>
        </w:rPr>
        <w:t>Brucella</w:t>
      </w:r>
      <w:proofErr w:type="spellEnd"/>
      <w:r w:rsidRPr="00851044">
        <w:rPr>
          <w:rFonts w:ascii="Arial" w:hAnsi="Arial" w:cs="Arial"/>
          <w:b/>
          <w:sz w:val="24"/>
          <w:szCs w:val="24"/>
        </w:rPr>
        <w:t xml:space="preserve"> y Tuberculosis</w:t>
      </w:r>
    </w:p>
    <w:p w:rsidR="00D11198" w:rsidRDefault="00D11198" w:rsidP="00D11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 a pequeños ganaderos que se encuentran sobre el cauce del Arroyo Seco, en apoyo al Programa Estatal del Saneamiento de la Cuenca del Ahogado.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1198" w:rsidRPr="00887DDE" w:rsidTr="00A0656D">
        <w:tc>
          <w:tcPr>
            <w:tcW w:w="4414" w:type="dxa"/>
          </w:tcPr>
          <w:p w:rsidR="00D11198" w:rsidRPr="00887DDE" w:rsidRDefault="00D11198" w:rsidP="00A06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Nombre del Productor</w:t>
            </w:r>
          </w:p>
        </w:tc>
        <w:tc>
          <w:tcPr>
            <w:tcW w:w="4414" w:type="dxa"/>
          </w:tcPr>
          <w:p w:rsidR="00D11198" w:rsidRPr="00887DDE" w:rsidRDefault="00D11198" w:rsidP="00A06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DE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</w:tr>
      <w:tr w:rsidR="00D11198" w:rsidRPr="00887DDE" w:rsidTr="00A0656D">
        <w:tc>
          <w:tcPr>
            <w:tcW w:w="4414" w:type="dxa"/>
          </w:tcPr>
          <w:p w:rsidR="00D11198" w:rsidRPr="00887DDE" w:rsidRDefault="00D11198" w:rsidP="00A06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 xml:space="preserve">Uriel Pichardo </w:t>
            </w:r>
            <w:proofErr w:type="spellStart"/>
            <w:r w:rsidRPr="00887DDE">
              <w:rPr>
                <w:rFonts w:ascii="Arial" w:hAnsi="Arial" w:cs="Arial"/>
                <w:sz w:val="20"/>
                <w:szCs w:val="20"/>
              </w:rPr>
              <w:t>Doñan</w:t>
            </w:r>
            <w:proofErr w:type="spellEnd"/>
          </w:p>
        </w:tc>
        <w:tc>
          <w:tcPr>
            <w:tcW w:w="4414" w:type="dxa"/>
          </w:tcPr>
          <w:p w:rsidR="00D11198" w:rsidRPr="00887DDE" w:rsidRDefault="00D11198" w:rsidP="00A0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San Sebastianito</w:t>
            </w:r>
          </w:p>
        </w:tc>
      </w:tr>
      <w:tr w:rsidR="00D11198" w:rsidRPr="00887DDE" w:rsidTr="00A0656D">
        <w:tc>
          <w:tcPr>
            <w:tcW w:w="4414" w:type="dxa"/>
          </w:tcPr>
          <w:p w:rsidR="00D11198" w:rsidRPr="00887DDE" w:rsidRDefault="00D11198" w:rsidP="00A06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Juan Luis Quevedo</w:t>
            </w:r>
          </w:p>
        </w:tc>
        <w:tc>
          <w:tcPr>
            <w:tcW w:w="4414" w:type="dxa"/>
          </w:tcPr>
          <w:p w:rsidR="00D11198" w:rsidRPr="00887DDE" w:rsidRDefault="00D11198" w:rsidP="00A0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San Sebastianito</w:t>
            </w:r>
          </w:p>
        </w:tc>
      </w:tr>
      <w:tr w:rsidR="00D11198" w:rsidRPr="00887DDE" w:rsidTr="00A0656D">
        <w:tc>
          <w:tcPr>
            <w:tcW w:w="4414" w:type="dxa"/>
          </w:tcPr>
          <w:p w:rsidR="00D11198" w:rsidRPr="00887DDE" w:rsidRDefault="00D11198" w:rsidP="00A06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Rafael Ochoa García</w:t>
            </w:r>
          </w:p>
        </w:tc>
        <w:tc>
          <w:tcPr>
            <w:tcW w:w="4414" w:type="dxa"/>
          </w:tcPr>
          <w:p w:rsidR="00D11198" w:rsidRPr="00887DDE" w:rsidRDefault="00D11198" w:rsidP="00A0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San Sebastianito</w:t>
            </w:r>
          </w:p>
        </w:tc>
      </w:tr>
      <w:tr w:rsidR="00D11198" w:rsidRPr="00887DDE" w:rsidTr="00A0656D">
        <w:tc>
          <w:tcPr>
            <w:tcW w:w="4414" w:type="dxa"/>
          </w:tcPr>
          <w:p w:rsidR="00D11198" w:rsidRPr="00887DDE" w:rsidRDefault="00D11198" w:rsidP="00A06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Federico Ortiz Banderas</w:t>
            </w:r>
          </w:p>
        </w:tc>
        <w:tc>
          <w:tcPr>
            <w:tcW w:w="4414" w:type="dxa"/>
          </w:tcPr>
          <w:p w:rsidR="00D11198" w:rsidRPr="00887DDE" w:rsidRDefault="00D11198" w:rsidP="00A0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San Sebastianito</w:t>
            </w:r>
          </w:p>
        </w:tc>
      </w:tr>
      <w:tr w:rsidR="00D11198" w:rsidRPr="00887DDE" w:rsidTr="00A0656D">
        <w:tc>
          <w:tcPr>
            <w:tcW w:w="4414" w:type="dxa"/>
          </w:tcPr>
          <w:p w:rsidR="00D11198" w:rsidRPr="00887DDE" w:rsidRDefault="00D11198" w:rsidP="00A06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Oscar</w:t>
            </w:r>
          </w:p>
        </w:tc>
        <w:tc>
          <w:tcPr>
            <w:tcW w:w="4414" w:type="dxa"/>
          </w:tcPr>
          <w:p w:rsidR="00D11198" w:rsidRPr="00887DDE" w:rsidRDefault="00D11198" w:rsidP="00A0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Toluquilla</w:t>
            </w:r>
          </w:p>
        </w:tc>
      </w:tr>
      <w:tr w:rsidR="00D11198" w:rsidRPr="00887DDE" w:rsidTr="00A0656D">
        <w:tc>
          <w:tcPr>
            <w:tcW w:w="4414" w:type="dxa"/>
          </w:tcPr>
          <w:p w:rsidR="00D11198" w:rsidRPr="00887DDE" w:rsidRDefault="00D11198" w:rsidP="00A06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Miguel Miramontes Castañeda</w:t>
            </w:r>
          </w:p>
        </w:tc>
        <w:tc>
          <w:tcPr>
            <w:tcW w:w="4414" w:type="dxa"/>
          </w:tcPr>
          <w:p w:rsidR="00D11198" w:rsidRPr="00887DDE" w:rsidRDefault="00D11198" w:rsidP="00A0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Toluquilla</w:t>
            </w:r>
          </w:p>
        </w:tc>
      </w:tr>
      <w:tr w:rsidR="00D11198" w:rsidRPr="00887DDE" w:rsidTr="00A0656D">
        <w:tc>
          <w:tcPr>
            <w:tcW w:w="4414" w:type="dxa"/>
          </w:tcPr>
          <w:p w:rsidR="00D11198" w:rsidRPr="00887DDE" w:rsidRDefault="00D11198" w:rsidP="00A06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Rigoberto Torres Martínez</w:t>
            </w:r>
          </w:p>
        </w:tc>
        <w:tc>
          <w:tcPr>
            <w:tcW w:w="4414" w:type="dxa"/>
          </w:tcPr>
          <w:p w:rsidR="00D11198" w:rsidRPr="00887DDE" w:rsidRDefault="00D11198" w:rsidP="00A0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Toluquilla</w:t>
            </w:r>
          </w:p>
        </w:tc>
      </w:tr>
      <w:tr w:rsidR="00D11198" w:rsidRPr="00887DDE" w:rsidTr="00A0656D">
        <w:tc>
          <w:tcPr>
            <w:tcW w:w="4414" w:type="dxa"/>
          </w:tcPr>
          <w:p w:rsidR="00D11198" w:rsidRPr="00887DDE" w:rsidRDefault="00D11198" w:rsidP="00A06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Castañeda</w:t>
            </w:r>
          </w:p>
        </w:tc>
        <w:tc>
          <w:tcPr>
            <w:tcW w:w="4414" w:type="dxa"/>
          </w:tcPr>
          <w:p w:rsidR="00D11198" w:rsidRPr="00887DDE" w:rsidRDefault="00D11198" w:rsidP="00A0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DDE">
              <w:rPr>
                <w:rFonts w:ascii="Arial" w:hAnsi="Arial" w:cs="Arial"/>
                <w:sz w:val="20"/>
                <w:szCs w:val="20"/>
              </w:rPr>
              <w:t>Toluquilla</w:t>
            </w:r>
          </w:p>
        </w:tc>
      </w:tr>
    </w:tbl>
    <w:p w:rsidR="00D11198" w:rsidRDefault="00D11198" w:rsidP="00A5480F">
      <w:pPr>
        <w:jc w:val="both"/>
        <w:rPr>
          <w:rFonts w:ascii="Arial" w:hAnsi="Arial" w:cs="Arial"/>
          <w:b/>
          <w:sz w:val="24"/>
          <w:szCs w:val="24"/>
        </w:rPr>
      </w:pPr>
    </w:p>
    <w:p w:rsidR="00D11198" w:rsidRDefault="00887DDE" w:rsidP="00A548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D11198" w:rsidRDefault="00887DDE" w:rsidP="00A5480F">
      <w:pPr>
        <w:jc w:val="both"/>
        <w:rPr>
          <w:rFonts w:ascii="Arial" w:hAnsi="Arial" w:cs="Arial"/>
          <w:sz w:val="24"/>
          <w:szCs w:val="24"/>
        </w:rPr>
      </w:pPr>
      <w:r w:rsidRPr="00887DDE">
        <w:rPr>
          <w:rFonts w:ascii="Arial" w:hAnsi="Arial" w:cs="Arial"/>
          <w:sz w:val="24"/>
          <w:szCs w:val="24"/>
        </w:rPr>
        <w:t>Organización y desarrollo de la Reunión Ordinaria del Consejo Municipal de Desarrollo Rural Sustentable de San Pedro Tlaquepaque, en la Casa Ejidal de Santa Anita el 12 de Febrero del presente año.</w:t>
      </w:r>
    </w:p>
    <w:p w:rsidR="00887DDE" w:rsidRPr="00887DDE" w:rsidRDefault="00887DDE" w:rsidP="00A5480F">
      <w:pPr>
        <w:jc w:val="both"/>
        <w:rPr>
          <w:rFonts w:ascii="Arial" w:hAnsi="Arial" w:cs="Arial"/>
          <w:sz w:val="24"/>
          <w:szCs w:val="24"/>
        </w:rPr>
      </w:pPr>
    </w:p>
    <w:p w:rsidR="00A5480F" w:rsidRPr="006C3669" w:rsidRDefault="00A5480F" w:rsidP="00A5480F">
      <w:pPr>
        <w:jc w:val="both"/>
        <w:rPr>
          <w:rFonts w:ascii="Arial" w:hAnsi="Arial" w:cs="Arial"/>
          <w:b/>
          <w:sz w:val="24"/>
          <w:szCs w:val="24"/>
        </w:rPr>
      </w:pPr>
      <w:r w:rsidRPr="006C3669">
        <w:rPr>
          <w:rFonts w:ascii="Arial" w:hAnsi="Arial" w:cs="Arial"/>
          <w:b/>
          <w:sz w:val="24"/>
          <w:szCs w:val="24"/>
        </w:rPr>
        <w:lastRenderedPageBreak/>
        <w:t>Consejo Distrital de Desarrollo Rural Sustentable del Distrito 01 SAGARPA</w:t>
      </w:r>
    </w:p>
    <w:p w:rsidR="004578E8" w:rsidRPr="00887DDE" w:rsidRDefault="00D11198" w:rsidP="00887D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Coordinación de la Reunión Ordinaria del Consejo Distrital 01 de la Secretaria de Agricultura y Desarrollo Rural Federal, la cual se llevó a cabo </w:t>
      </w:r>
      <w:r w:rsidR="00887DDE">
        <w:rPr>
          <w:rFonts w:ascii="Arial" w:hAnsi="Arial" w:cs="Arial"/>
          <w:sz w:val="24"/>
          <w:szCs w:val="24"/>
        </w:rPr>
        <w:t xml:space="preserve">el 28 de Febrero de del presente </w:t>
      </w:r>
      <w:r>
        <w:rPr>
          <w:rFonts w:ascii="Arial" w:hAnsi="Arial" w:cs="Arial"/>
          <w:sz w:val="24"/>
          <w:szCs w:val="24"/>
        </w:rPr>
        <w:t>en el Salón Desniveles del Centro Cultural El Refugio, donde se participó con la vida organizativa del Consejo Municipal de Desarrollo Rural Sustentable de San Pedro Tlaquepaque.</w:t>
      </w:r>
    </w:p>
    <w:sectPr w:rsidR="004578E8" w:rsidRPr="00887D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F"/>
    <w:rsid w:val="004578E8"/>
    <w:rsid w:val="004D5399"/>
    <w:rsid w:val="00887DDE"/>
    <w:rsid w:val="00A5480F"/>
    <w:rsid w:val="00D1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536BE-CFBC-4F56-B33E-06B7C6E2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2</cp:revision>
  <dcterms:created xsi:type="dcterms:W3CDTF">2019-03-22T15:50:00Z</dcterms:created>
  <dcterms:modified xsi:type="dcterms:W3CDTF">2019-03-22T19:27:00Z</dcterms:modified>
</cp:coreProperties>
</file>