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A6" w:rsidRDefault="008669A6" w:rsidP="008669A6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957B4D">
        <w:rPr>
          <w:rFonts w:ascii="Arial" w:hAnsi="Arial" w:cs="Arial"/>
          <w:b/>
          <w:sz w:val="24"/>
          <w:szCs w:val="24"/>
        </w:rPr>
        <w:t>DIRECCIÓN GENERAL JURÍDICA</w:t>
      </w:r>
    </w:p>
    <w:p w:rsidR="00BB146F" w:rsidRPr="00BB146F" w:rsidRDefault="00BB146F" w:rsidP="00BB146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BB146F">
        <w:rPr>
          <w:rFonts w:ascii="Arial" w:hAnsi="Arial" w:cs="Arial"/>
          <w:sz w:val="24"/>
          <w:szCs w:val="24"/>
        </w:rPr>
        <w:t>DGJ/2013/2019</w:t>
      </w:r>
    </w:p>
    <w:p w:rsidR="009A3560" w:rsidRDefault="009A3560" w:rsidP="009A356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7B4D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5B1A53">
        <w:rPr>
          <w:rFonts w:ascii="Arial" w:hAnsi="Arial" w:cs="Arial"/>
          <w:b/>
          <w:sz w:val="24"/>
          <w:szCs w:val="24"/>
        </w:rPr>
        <w:t xml:space="preserve">              </w:t>
      </w:r>
      <w:r w:rsidRPr="00957B4D">
        <w:rPr>
          <w:rFonts w:ascii="Arial" w:hAnsi="Arial" w:cs="Arial"/>
          <w:b/>
          <w:sz w:val="24"/>
          <w:szCs w:val="24"/>
        </w:rPr>
        <w:t xml:space="preserve">Asunto: </w:t>
      </w:r>
      <w:r w:rsidRPr="00957B4D">
        <w:rPr>
          <w:rFonts w:ascii="Arial" w:hAnsi="Arial" w:cs="Arial"/>
          <w:sz w:val="24"/>
          <w:szCs w:val="24"/>
        </w:rPr>
        <w:t>Primer Informe de Gobierno 2019</w:t>
      </w:r>
    </w:p>
    <w:p w:rsidR="00BA136D" w:rsidRDefault="00BA136D" w:rsidP="009A356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5B1A53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San Ped</w:t>
      </w:r>
      <w:r w:rsidR="00AC6FCE">
        <w:rPr>
          <w:rFonts w:ascii="Arial" w:hAnsi="Arial" w:cs="Arial"/>
          <w:sz w:val="24"/>
          <w:szCs w:val="24"/>
        </w:rPr>
        <w:t>ro Tlaquepaque, Jalisco a 10</w:t>
      </w:r>
      <w:r>
        <w:rPr>
          <w:rFonts w:ascii="Arial" w:hAnsi="Arial" w:cs="Arial"/>
          <w:sz w:val="24"/>
          <w:szCs w:val="24"/>
        </w:rPr>
        <w:t xml:space="preserve"> de Julio del 2019</w:t>
      </w:r>
    </w:p>
    <w:p w:rsidR="009A7723" w:rsidRPr="00957B4D" w:rsidRDefault="009A7723" w:rsidP="009A356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669A6" w:rsidRPr="00957B4D" w:rsidRDefault="008669A6" w:rsidP="008669A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7B4D">
        <w:rPr>
          <w:rFonts w:ascii="Arial" w:hAnsi="Arial" w:cs="Arial"/>
          <w:b/>
          <w:sz w:val="24"/>
          <w:szCs w:val="24"/>
        </w:rPr>
        <w:t>LIC. MARÍA ISELA VÁZQUEZ ESPINOZA</w:t>
      </w:r>
    </w:p>
    <w:p w:rsidR="008669A6" w:rsidRPr="00957B4D" w:rsidRDefault="008669A6" w:rsidP="008669A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7B4D">
        <w:rPr>
          <w:rFonts w:ascii="Arial" w:hAnsi="Arial" w:cs="Arial"/>
          <w:b/>
          <w:sz w:val="24"/>
          <w:szCs w:val="24"/>
        </w:rPr>
        <w:t xml:space="preserve">DIRECTORA DE SEGUIMIENTO Y EVALUACIÓN </w:t>
      </w:r>
    </w:p>
    <w:p w:rsidR="008669A6" w:rsidRPr="00957B4D" w:rsidRDefault="008669A6" w:rsidP="008669A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7B4D">
        <w:rPr>
          <w:rFonts w:ascii="Arial" w:hAnsi="Arial" w:cs="Arial"/>
          <w:b/>
          <w:sz w:val="24"/>
          <w:szCs w:val="24"/>
        </w:rPr>
        <w:t>P R E S E N T E.</w:t>
      </w:r>
    </w:p>
    <w:p w:rsidR="008669A6" w:rsidRPr="00957B4D" w:rsidRDefault="008669A6" w:rsidP="008669A6">
      <w:pPr>
        <w:pStyle w:val="Textoindependiente"/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7B4D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:rsidR="008669A6" w:rsidRDefault="00010BC6" w:rsidP="008669A6">
      <w:pPr>
        <w:pStyle w:val="Textoindependiente"/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669A6" w:rsidRPr="00957B4D">
        <w:rPr>
          <w:rFonts w:ascii="Arial" w:hAnsi="Arial" w:cs="Arial"/>
          <w:sz w:val="24"/>
          <w:szCs w:val="24"/>
        </w:rPr>
        <w:t>e</w:t>
      </w:r>
      <w:r w:rsidR="009A3560" w:rsidRPr="00957B4D">
        <w:rPr>
          <w:rFonts w:ascii="Arial" w:hAnsi="Arial" w:cs="Arial"/>
          <w:sz w:val="24"/>
          <w:szCs w:val="24"/>
        </w:rPr>
        <w:t xml:space="preserve">sultados integradores del </w:t>
      </w:r>
      <w:r w:rsidR="008669A6" w:rsidRPr="00957B4D">
        <w:rPr>
          <w:rFonts w:ascii="Arial" w:hAnsi="Arial" w:cs="Arial"/>
          <w:sz w:val="24"/>
          <w:szCs w:val="24"/>
        </w:rPr>
        <w:t xml:space="preserve"> INFORME DE GOBIERNO, del periodo comp</w:t>
      </w:r>
      <w:r w:rsidR="009A3560" w:rsidRPr="00957B4D">
        <w:rPr>
          <w:rFonts w:ascii="Arial" w:hAnsi="Arial" w:cs="Arial"/>
          <w:sz w:val="24"/>
          <w:szCs w:val="24"/>
        </w:rPr>
        <w:t>rendido de Octubre del año 2018</w:t>
      </w:r>
      <w:r>
        <w:rPr>
          <w:rFonts w:ascii="Arial" w:hAnsi="Arial" w:cs="Arial"/>
          <w:sz w:val="24"/>
          <w:szCs w:val="24"/>
        </w:rPr>
        <w:t xml:space="preserve"> a Julio del</w:t>
      </w:r>
      <w:r w:rsidR="001611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2019</w:t>
      </w:r>
      <w:r w:rsidR="008669A6" w:rsidRPr="00957B4D">
        <w:rPr>
          <w:rFonts w:ascii="Arial" w:hAnsi="Arial" w:cs="Arial"/>
          <w:sz w:val="24"/>
          <w:szCs w:val="24"/>
        </w:rPr>
        <w:t>, el cual contribuye al Pla</w:t>
      </w:r>
      <w:r w:rsidR="00906673" w:rsidRPr="00957B4D">
        <w:rPr>
          <w:rFonts w:ascii="Arial" w:hAnsi="Arial" w:cs="Arial"/>
          <w:sz w:val="24"/>
          <w:szCs w:val="24"/>
        </w:rPr>
        <w:t xml:space="preserve">n de Desarrollo Municipal, </w:t>
      </w:r>
      <w:r w:rsidR="00906673" w:rsidRPr="00957B4D">
        <w:rPr>
          <w:rFonts w:ascii="Arial" w:eastAsia="Arial Unicode MS" w:hAnsi="Arial" w:cs="Arial"/>
          <w:color w:val="000000"/>
          <w:sz w:val="24"/>
          <w:szCs w:val="24"/>
          <w:lang w:eastAsia="es-MX"/>
        </w:rPr>
        <w:t xml:space="preserve">en el </w:t>
      </w:r>
      <w:r w:rsidR="00EA2E77" w:rsidRPr="00957B4D">
        <w:rPr>
          <w:rFonts w:ascii="Arial" w:eastAsia="Arial Unicode MS" w:hAnsi="Arial" w:cs="Arial"/>
          <w:b/>
          <w:color w:val="000000"/>
          <w:sz w:val="24"/>
          <w:szCs w:val="24"/>
          <w:lang w:eastAsia="es-MX"/>
        </w:rPr>
        <w:t>eje 7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s-MX"/>
        </w:rPr>
        <w:t>) Buen Gobierno, Participación Ciudadana, Transparencia y Rendición de C</w:t>
      </w:r>
      <w:r w:rsidR="00906673" w:rsidRPr="00957B4D">
        <w:rPr>
          <w:rFonts w:ascii="Arial" w:eastAsia="Arial Unicode MS" w:hAnsi="Arial" w:cs="Arial"/>
          <w:b/>
          <w:color w:val="000000"/>
          <w:sz w:val="24"/>
          <w:szCs w:val="24"/>
          <w:lang w:eastAsia="es-MX"/>
        </w:rPr>
        <w:t>uentas</w:t>
      </w:r>
      <w:r w:rsidR="008669A6" w:rsidRPr="00957B4D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8669A6" w:rsidRPr="00957B4D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>E</w:t>
      </w:r>
      <w:r w:rsidR="00BE47C7" w:rsidRPr="00BE47C7">
        <w:rPr>
          <w:rFonts w:ascii="Arial" w:hAnsi="Arial" w:cs="Arial"/>
          <w:b/>
          <w:bCs/>
          <w:iCs/>
          <w:sz w:val="24"/>
          <w:szCs w:val="24"/>
        </w:rPr>
        <w:t>strategia</w:t>
      </w:r>
      <w:r w:rsidR="00BE47C7">
        <w:rPr>
          <w:rFonts w:ascii="Arial" w:hAnsi="Arial" w:cs="Arial"/>
          <w:b/>
          <w:bCs/>
          <w:iCs/>
          <w:sz w:val="24"/>
          <w:szCs w:val="24"/>
        </w:rPr>
        <w:t>s</w:t>
      </w:r>
      <w:r>
        <w:rPr>
          <w:rFonts w:ascii="Arial" w:hAnsi="Arial" w:cs="Arial"/>
          <w:b/>
          <w:bCs/>
          <w:iCs/>
          <w:sz w:val="24"/>
          <w:szCs w:val="24"/>
        </w:rPr>
        <w:t>.</w:t>
      </w:r>
      <w:r w:rsidR="00BE47C7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C2600D" w:rsidRDefault="00C2600D" w:rsidP="003A432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</w:p>
    <w:p w:rsidR="00BB7CFA" w:rsidRDefault="00906673" w:rsidP="00BB7CFA">
      <w:pPr>
        <w:spacing w:after="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val="es-ES_tradnl" w:eastAsia="es-MX"/>
        </w:rPr>
      </w:pPr>
      <w:r w:rsidRPr="00957B4D">
        <w:rPr>
          <w:rFonts w:ascii="Arial" w:eastAsia="Arial Unicode MS" w:hAnsi="Arial" w:cs="Arial"/>
          <w:color w:val="000000"/>
          <w:sz w:val="24"/>
          <w:szCs w:val="24"/>
          <w:lang w:val="es-ES_tradnl" w:eastAsia="es-MX"/>
        </w:rPr>
        <w:t>Derivado de las atribuciones de caráct</w:t>
      </w:r>
      <w:r w:rsidR="005B1A53">
        <w:rPr>
          <w:rFonts w:ascii="Arial" w:eastAsia="Arial Unicode MS" w:hAnsi="Arial" w:cs="Arial"/>
          <w:color w:val="000000"/>
          <w:sz w:val="24"/>
          <w:szCs w:val="24"/>
          <w:lang w:val="es-ES_tradnl" w:eastAsia="es-MX"/>
        </w:rPr>
        <w:t xml:space="preserve">er jurídico, consultivo,  logramos el </w:t>
      </w:r>
      <w:r w:rsidRPr="00957B4D">
        <w:rPr>
          <w:rFonts w:ascii="Arial" w:eastAsia="Arial Unicode MS" w:hAnsi="Arial" w:cs="Arial"/>
          <w:color w:val="000000"/>
          <w:sz w:val="24"/>
          <w:szCs w:val="24"/>
          <w:lang w:val="es-ES_tradnl" w:eastAsia="es-MX"/>
        </w:rPr>
        <w:t xml:space="preserve"> seguimiento de los procedimientos legales</w:t>
      </w:r>
      <w:r w:rsidR="00BB7CFA">
        <w:rPr>
          <w:rFonts w:ascii="Arial" w:eastAsia="Arial Unicode MS" w:hAnsi="Arial" w:cs="Arial"/>
          <w:color w:val="000000"/>
          <w:sz w:val="24"/>
          <w:szCs w:val="24"/>
          <w:lang w:val="es-ES_tradnl" w:eastAsia="es-MX"/>
        </w:rPr>
        <w:t xml:space="preserve"> instaurados ante los Tribunales que integran el Poder Judicial tanto Estatal como de la Federación,  así como dependencias gubernamentales y no gubernamentales, hasta s</w:t>
      </w:r>
      <w:r w:rsidR="001611A1">
        <w:rPr>
          <w:rFonts w:ascii="Arial" w:eastAsia="Arial Unicode MS" w:hAnsi="Arial" w:cs="Arial"/>
          <w:color w:val="000000"/>
          <w:sz w:val="24"/>
          <w:szCs w:val="24"/>
          <w:lang w:val="es-ES_tradnl" w:eastAsia="es-MX"/>
        </w:rPr>
        <w:t>u último proceso legal</w:t>
      </w:r>
      <w:r w:rsidR="00BB7CFA">
        <w:rPr>
          <w:rFonts w:ascii="Arial" w:eastAsia="Arial Unicode MS" w:hAnsi="Arial" w:cs="Arial"/>
          <w:color w:val="000000"/>
          <w:sz w:val="24"/>
          <w:szCs w:val="24"/>
          <w:lang w:val="es-ES_tradnl" w:eastAsia="es-MX"/>
        </w:rPr>
        <w:t xml:space="preserve"> resolución</w:t>
      </w:r>
      <w:r w:rsidR="00BE47C7">
        <w:rPr>
          <w:rFonts w:ascii="Arial" w:eastAsia="Arial Unicode MS" w:hAnsi="Arial" w:cs="Arial"/>
          <w:color w:val="000000"/>
          <w:sz w:val="24"/>
          <w:szCs w:val="24"/>
          <w:lang w:val="es-ES_tradnl" w:eastAsia="es-MX"/>
        </w:rPr>
        <w:t xml:space="preserve"> en sus diversas materias</w:t>
      </w:r>
      <w:r w:rsidR="005B1A53">
        <w:rPr>
          <w:rFonts w:ascii="Arial" w:eastAsia="Arial Unicode MS" w:hAnsi="Arial" w:cs="Arial"/>
          <w:color w:val="000000"/>
          <w:sz w:val="24"/>
          <w:szCs w:val="24"/>
          <w:lang w:val="es-ES_tradnl" w:eastAsia="es-MX"/>
        </w:rPr>
        <w:t xml:space="preserve"> </w:t>
      </w:r>
      <w:r w:rsidR="00BE47C7">
        <w:rPr>
          <w:rFonts w:ascii="Arial" w:eastAsia="Arial Unicode MS" w:hAnsi="Arial" w:cs="Arial"/>
          <w:color w:val="000000"/>
          <w:sz w:val="24"/>
          <w:szCs w:val="24"/>
          <w:lang w:val="es-ES_tradnl" w:eastAsia="es-MX"/>
        </w:rPr>
        <w:t>(Amparo, Civil, Mercantil, Administrativo, Penal</w:t>
      </w:r>
      <w:r w:rsidR="001611A1">
        <w:rPr>
          <w:rFonts w:ascii="Arial" w:eastAsia="Arial Unicode MS" w:hAnsi="Arial" w:cs="Arial"/>
          <w:color w:val="000000"/>
          <w:sz w:val="24"/>
          <w:szCs w:val="24"/>
          <w:lang w:val="es-ES_tradnl" w:eastAsia="es-MX"/>
        </w:rPr>
        <w:t>, Quejas</w:t>
      </w:r>
      <w:r w:rsidR="00BE47C7">
        <w:rPr>
          <w:rFonts w:ascii="Arial" w:eastAsia="Arial Unicode MS" w:hAnsi="Arial" w:cs="Arial"/>
          <w:color w:val="000000"/>
          <w:sz w:val="24"/>
          <w:szCs w:val="24"/>
          <w:lang w:val="es-ES_tradnl" w:eastAsia="es-MX"/>
        </w:rPr>
        <w:t xml:space="preserve">) </w:t>
      </w:r>
      <w:r w:rsidR="005B1A53">
        <w:rPr>
          <w:rFonts w:ascii="Arial" w:eastAsia="Arial Unicode MS" w:hAnsi="Arial" w:cs="Arial"/>
          <w:color w:val="000000"/>
          <w:sz w:val="24"/>
          <w:szCs w:val="24"/>
          <w:lang w:val="es-ES_tradnl" w:eastAsia="es-MX"/>
        </w:rPr>
        <w:t>de un</w:t>
      </w:r>
      <w:r w:rsidRPr="00957B4D">
        <w:rPr>
          <w:rFonts w:ascii="Arial" w:eastAsia="Arial Unicode MS" w:hAnsi="Arial" w:cs="Arial"/>
          <w:color w:val="000000"/>
          <w:sz w:val="24"/>
          <w:szCs w:val="24"/>
          <w:lang w:val="es-ES_tradnl" w:eastAsia="es-MX"/>
        </w:rPr>
        <w:t xml:space="preserve"> </w:t>
      </w:r>
      <w:r w:rsidR="00CF14AE" w:rsidRPr="00CF14AE">
        <w:rPr>
          <w:rFonts w:ascii="Arial" w:eastAsia="Arial Unicode MS" w:hAnsi="Arial" w:cs="Arial"/>
          <w:sz w:val="24"/>
          <w:szCs w:val="24"/>
          <w:lang w:val="es-ES_tradnl" w:eastAsia="es-MX"/>
        </w:rPr>
        <w:t xml:space="preserve">total de </w:t>
      </w:r>
      <w:r w:rsidR="004D07C7" w:rsidRPr="00AC6FCE">
        <w:rPr>
          <w:rFonts w:ascii="Arial" w:eastAsia="Arial Unicode MS" w:hAnsi="Arial" w:cs="Arial"/>
          <w:sz w:val="24"/>
          <w:szCs w:val="24"/>
          <w:lang w:val="es-ES_tradnl" w:eastAsia="es-MX"/>
        </w:rPr>
        <w:t>2387</w:t>
      </w:r>
      <w:r w:rsidRPr="00CF14AE">
        <w:rPr>
          <w:rFonts w:ascii="Arial" w:eastAsia="Arial Unicode MS" w:hAnsi="Arial" w:cs="Arial"/>
          <w:sz w:val="24"/>
          <w:szCs w:val="24"/>
          <w:lang w:val="es-ES_tradnl" w:eastAsia="es-MX"/>
        </w:rPr>
        <w:t xml:space="preserve"> </w:t>
      </w:r>
      <w:r w:rsidR="00BB7CFA">
        <w:rPr>
          <w:rFonts w:ascii="Arial" w:eastAsia="Arial Unicode MS" w:hAnsi="Arial" w:cs="Arial"/>
          <w:color w:val="000000"/>
          <w:sz w:val="24"/>
          <w:szCs w:val="24"/>
          <w:lang w:val="es-ES_tradnl" w:eastAsia="es-MX"/>
        </w:rPr>
        <w:t>expedientes en trámite</w:t>
      </w:r>
      <w:r w:rsidR="00AC6FCE">
        <w:rPr>
          <w:rFonts w:ascii="Arial" w:eastAsia="Arial Unicode MS" w:hAnsi="Arial" w:cs="Arial"/>
          <w:color w:val="000000"/>
          <w:sz w:val="24"/>
          <w:szCs w:val="24"/>
          <w:lang w:val="es-ES_tradnl" w:eastAsia="es-MX"/>
        </w:rPr>
        <w:t>s</w:t>
      </w:r>
      <w:r w:rsidR="00BB7CFA">
        <w:rPr>
          <w:rFonts w:ascii="Arial" w:eastAsia="Arial Unicode MS" w:hAnsi="Arial" w:cs="Arial"/>
          <w:color w:val="000000"/>
          <w:sz w:val="24"/>
          <w:szCs w:val="24"/>
          <w:lang w:val="es-ES_tradnl" w:eastAsia="es-MX"/>
        </w:rPr>
        <w:t xml:space="preserve"> actuales</w:t>
      </w:r>
      <w:r w:rsidR="003A4322" w:rsidRPr="00957B4D">
        <w:rPr>
          <w:rFonts w:ascii="Arial" w:eastAsia="Arial Unicode MS" w:hAnsi="Arial" w:cs="Arial"/>
          <w:color w:val="000000"/>
          <w:sz w:val="24"/>
          <w:szCs w:val="24"/>
          <w:lang w:val="es-ES_tradnl" w:eastAsia="es-MX"/>
        </w:rPr>
        <w:t>.</w:t>
      </w:r>
    </w:p>
    <w:p w:rsidR="00BB7CFA" w:rsidRDefault="00BB7CFA" w:rsidP="00BB7CFA">
      <w:pPr>
        <w:spacing w:after="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val="es-ES_tradnl" w:eastAsia="es-MX"/>
        </w:rPr>
      </w:pPr>
    </w:p>
    <w:p w:rsidR="00FD6C59" w:rsidRPr="00BB7CFA" w:rsidRDefault="008669A6" w:rsidP="00BB7CFA">
      <w:pPr>
        <w:spacing w:after="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val="es-ES_tradnl" w:eastAsia="es-MX"/>
        </w:rPr>
      </w:pPr>
      <w:r w:rsidRPr="00957B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D6C59">
        <w:rPr>
          <w:rFonts w:ascii="Arial" w:hAnsi="Arial" w:cs="Arial"/>
          <w:sz w:val="24"/>
          <w:szCs w:val="24"/>
          <w:lang w:val="es-ES_tradnl"/>
        </w:rPr>
        <w:t xml:space="preserve">Las atribuciones </w:t>
      </w:r>
      <w:r w:rsidR="00FD6C59">
        <w:rPr>
          <w:rFonts w:ascii="Arial" w:eastAsia="TAFOTT+ArialMT" w:hAnsi="Arial" w:cs="Arial"/>
          <w:color w:val="0D0D0D" w:themeColor="text1" w:themeTint="F2"/>
          <w:sz w:val="24"/>
          <w:szCs w:val="24"/>
        </w:rPr>
        <w:t>en el ejercicio de las</w:t>
      </w:r>
      <w:r w:rsidR="00FD6C59" w:rsidRPr="00842FDC">
        <w:rPr>
          <w:rFonts w:ascii="Arial" w:eastAsia="TAFOTT+ArialMT" w:hAnsi="Arial" w:cs="Arial"/>
          <w:color w:val="0D0D0D" w:themeColor="text1" w:themeTint="F2"/>
          <w:sz w:val="24"/>
          <w:szCs w:val="24"/>
        </w:rPr>
        <w:t xml:space="preserve"> funciones de carácter técnico</w:t>
      </w:r>
      <w:r w:rsidR="00AC6FCE">
        <w:rPr>
          <w:rFonts w:ascii="Arial" w:eastAsia="TAFOTT+ArialMT" w:hAnsi="Arial" w:cs="Arial"/>
          <w:color w:val="0D0D0D" w:themeColor="text1" w:themeTint="F2"/>
          <w:sz w:val="24"/>
          <w:szCs w:val="24"/>
        </w:rPr>
        <w:t>,</w:t>
      </w:r>
      <w:r w:rsidR="00FD6C59" w:rsidRPr="00842FDC">
        <w:rPr>
          <w:rFonts w:ascii="Arial" w:eastAsia="TAFOTT+ArialMT" w:hAnsi="Arial" w:cs="Arial"/>
          <w:color w:val="0D0D0D" w:themeColor="text1" w:themeTint="F2"/>
          <w:sz w:val="24"/>
          <w:szCs w:val="24"/>
        </w:rPr>
        <w:t xml:space="preserve"> </w:t>
      </w:r>
      <w:r w:rsidR="001611A1">
        <w:rPr>
          <w:rFonts w:ascii="Arial" w:eastAsia="TAFOTT+ArialMT" w:hAnsi="Arial" w:cs="Arial"/>
          <w:color w:val="0D0D0D" w:themeColor="text1" w:themeTint="F2"/>
          <w:sz w:val="24"/>
          <w:szCs w:val="24"/>
        </w:rPr>
        <w:t>jurídico, consultivo</w:t>
      </w:r>
      <w:r w:rsidR="00AC6FCE">
        <w:rPr>
          <w:rFonts w:ascii="Arial" w:eastAsia="TAFOTT+ArialMT" w:hAnsi="Arial" w:cs="Arial"/>
          <w:color w:val="0D0D0D" w:themeColor="text1" w:themeTint="F2"/>
          <w:sz w:val="24"/>
          <w:szCs w:val="24"/>
        </w:rPr>
        <w:t xml:space="preserve"> vertidos en la</w:t>
      </w:r>
      <w:r w:rsidR="00FD6C59">
        <w:rPr>
          <w:rFonts w:ascii="Arial" w:eastAsia="TAFOTT+ArialMT" w:hAnsi="Arial" w:cs="Arial"/>
          <w:color w:val="0D0D0D" w:themeColor="text1" w:themeTint="F2"/>
          <w:sz w:val="24"/>
          <w:szCs w:val="24"/>
        </w:rPr>
        <w:t xml:space="preserve"> Direcc</w:t>
      </w:r>
      <w:r w:rsidR="00AC6FCE">
        <w:rPr>
          <w:rFonts w:ascii="Arial" w:eastAsia="TAFOTT+ArialMT" w:hAnsi="Arial" w:cs="Arial"/>
          <w:color w:val="0D0D0D" w:themeColor="text1" w:themeTint="F2"/>
          <w:sz w:val="24"/>
          <w:szCs w:val="24"/>
        </w:rPr>
        <w:t>ión General Jurídica y</w:t>
      </w:r>
      <w:r w:rsidR="00FD6C59">
        <w:rPr>
          <w:rFonts w:ascii="Arial" w:eastAsia="TAFOTT+ArialMT" w:hAnsi="Arial" w:cs="Arial"/>
          <w:color w:val="0D0D0D" w:themeColor="text1" w:themeTint="F2"/>
          <w:sz w:val="24"/>
          <w:szCs w:val="24"/>
        </w:rPr>
        <w:t xml:space="preserve"> </w:t>
      </w:r>
      <w:r w:rsidR="00FD6C59" w:rsidRPr="00842FDC">
        <w:rPr>
          <w:rFonts w:ascii="Arial" w:eastAsia="TAFOTT+ArialMT" w:hAnsi="Arial" w:cs="Arial"/>
          <w:color w:val="0D0D0D" w:themeColor="text1" w:themeTint="F2"/>
          <w:sz w:val="24"/>
          <w:szCs w:val="24"/>
        </w:rPr>
        <w:t>como defensor</w:t>
      </w:r>
      <w:r w:rsidR="00AC6FCE">
        <w:rPr>
          <w:rFonts w:ascii="Arial" w:eastAsia="TAFOTT+ArialMT" w:hAnsi="Arial" w:cs="Arial"/>
          <w:color w:val="0D0D0D" w:themeColor="text1" w:themeTint="F2"/>
          <w:sz w:val="24"/>
          <w:szCs w:val="24"/>
        </w:rPr>
        <w:t>es</w:t>
      </w:r>
      <w:r w:rsidR="00FD6C59" w:rsidRPr="00842FDC">
        <w:rPr>
          <w:rFonts w:ascii="Arial" w:eastAsia="TAFOTT+ArialMT" w:hAnsi="Arial" w:cs="Arial"/>
          <w:color w:val="0D0D0D" w:themeColor="text1" w:themeTint="F2"/>
          <w:sz w:val="24"/>
          <w:szCs w:val="24"/>
        </w:rPr>
        <w:t xml:space="preserve"> de los intereses del Municipio</w:t>
      </w:r>
      <w:r w:rsidR="001611A1">
        <w:rPr>
          <w:rFonts w:ascii="Arial" w:eastAsia="TAFOTT+ArialMT" w:hAnsi="Arial" w:cs="Arial"/>
          <w:color w:val="0D0D0D" w:themeColor="text1" w:themeTint="F2"/>
          <w:sz w:val="24"/>
          <w:szCs w:val="24"/>
        </w:rPr>
        <w:t xml:space="preserve">,  </w:t>
      </w:r>
      <w:r w:rsidR="00C2208C">
        <w:rPr>
          <w:rFonts w:ascii="Arial" w:eastAsia="TAFOTT+ArialMT" w:hAnsi="Arial" w:cs="Arial"/>
          <w:color w:val="0D0D0D" w:themeColor="text1" w:themeTint="F2"/>
          <w:sz w:val="24"/>
          <w:szCs w:val="24"/>
        </w:rPr>
        <w:t>trabajamos</w:t>
      </w:r>
      <w:r w:rsidR="001C4CE8">
        <w:rPr>
          <w:rFonts w:ascii="Arial" w:eastAsia="TAFOTT+ArialMT" w:hAnsi="Arial" w:cs="Arial"/>
          <w:color w:val="0D0D0D" w:themeColor="text1" w:themeTint="F2"/>
          <w:sz w:val="24"/>
          <w:szCs w:val="24"/>
        </w:rPr>
        <w:t xml:space="preserve"> en</w:t>
      </w:r>
      <w:r w:rsidR="00FD6C59">
        <w:rPr>
          <w:rFonts w:ascii="Arial" w:eastAsia="TAFOTT+ArialMT" w:hAnsi="Arial" w:cs="Arial"/>
          <w:color w:val="0D0D0D" w:themeColor="text1" w:themeTint="F2"/>
          <w:sz w:val="24"/>
          <w:szCs w:val="24"/>
        </w:rPr>
        <w:t xml:space="preserve"> los siguientes litigios favorables para el Erario del Ayuntamiento de San Pedro Tlaquepaque</w:t>
      </w:r>
      <w:r w:rsidR="00765C3A">
        <w:rPr>
          <w:rFonts w:ascii="Arial" w:eastAsia="TAFOTT+ArialMT" w:hAnsi="Arial" w:cs="Arial"/>
          <w:color w:val="0D0D0D" w:themeColor="text1" w:themeTint="F2"/>
          <w:sz w:val="24"/>
          <w:szCs w:val="24"/>
        </w:rPr>
        <w:t>,</w:t>
      </w:r>
      <w:r w:rsidR="00765C3A" w:rsidRPr="00765C3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65C3A">
        <w:rPr>
          <w:rFonts w:ascii="Arial" w:hAnsi="Arial" w:cs="Arial"/>
          <w:sz w:val="24"/>
          <w:szCs w:val="24"/>
          <w:lang w:val="es-ES_tradnl"/>
        </w:rPr>
        <w:t>antes de requerir judicialmente el cumplimiento de las sentencias</w:t>
      </w:r>
      <w:r w:rsidR="00FD6C59" w:rsidRPr="00842FDC">
        <w:rPr>
          <w:rFonts w:ascii="Arial" w:eastAsia="TAFOTT+ArialMT" w:hAnsi="Arial" w:cs="Arial"/>
          <w:color w:val="0D0D0D" w:themeColor="text1" w:themeTint="F2"/>
          <w:sz w:val="24"/>
          <w:szCs w:val="24"/>
        </w:rPr>
        <w:t>.</w:t>
      </w:r>
    </w:p>
    <w:p w:rsidR="00FD6C59" w:rsidRDefault="00FD6C59" w:rsidP="00FD6C59">
      <w:pPr>
        <w:pStyle w:val="Prrafodelista"/>
        <w:spacing w:line="360" w:lineRule="auto"/>
        <w:ind w:left="0"/>
        <w:jc w:val="both"/>
        <w:rPr>
          <w:rFonts w:ascii="Arial" w:eastAsia="TAFOTT+ArialMT" w:hAnsi="Arial" w:cs="Arial"/>
          <w:color w:val="0D0D0D" w:themeColor="text1" w:themeTint="F2"/>
          <w:sz w:val="24"/>
          <w:szCs w:val="24"/>
        </w:rPr>
      </w:pPr>
    </w:p>
    <w:p w:rsidR="00731EB6" w:rsidRDefault="00731EB6" w:rsidP="00FD6C59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Octubre del año 2018 a</w:t>
      </w:r>
      <w:r w:rsidRPr="000C56EA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Julio del 2019, ingresamos a las arcas del Erario Público Municipal, </w:t>
      </w:r>
      <w:r w:rsidRPr="000C56EA">
        <w:rPr>
          <w:rFonts w:ascii="Arial" w:hAnsi="Arial" w:cs="Arial"/>
          <w:sz w:val="24"/>
          <w:szCs w:val="24"/>
          <w:lang w:val="es-ES_tradnl"/>
        </w:rPr>
        <w:t xml:space="preserve"> la cantidad de</w:t>
      </w:r>
      <w:r>
        <w:rPr>
          <w:rFonts w:ascii="Arial" w:hAnsi="Arial" w:cs="Arial"/>
          <w:sz w:val="24"/>
          <w:szCs w:val="24"/>
          <w:lang w:val="es-ES_tradnl"/>
        </w:rPr>
        <w:t xml:space="preserve"> $764,725.00, por concepto de reintegro de anticipo de la obligación</w:t>
      </w:r>
      <w:r w:rsidR="007B630A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 garantizada mediante fianzas, requerimiento de devolución de primas por</w:t>
      </w:r>
      <w:r w:rsidR="000E2A57">
        <w:rPr>
          <w:rFonts w:ascii="Arial" w:hAnsi="Arial" w:cs="Arial"/>
          <w:sz w:val="24"/>
          <w:szCs w:val="24"/>
          <w:lang w:val="es-ES_tradnl"/>
        </w:rPr>
        <w:t xml:space="preserve"> cancelación de unidades vehiculares</w:t>
      </w:r>
      <w:r w:rsidR="00A328E0">
        <w:rPr>
          <w:rFonts w:ascii="Arial" w:hAnsi="Arial" w:cs="Arial"/>
          <w:sz w:val="24"/>
          <w:szCs w:val="24"/>
          <w:lang w:val="es-ES_tradnl"/>
        </w:rPr>
        <w:t>,</w:t>
      </w:r>
      <w:r w:rsidR="000E2A5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328E0">
        <w:rPr>
          <w:rFonts w:ascii="Arial" w:hAnsi="Arial" w:cs="Arial"/>
          <w:sz w:val="24"/>
          <w:szCs w:val="24"/>
          <w:lang w:val="es-ES_tradnl"/>
        </w:rPr>
        <w:t xml:space="preserve">por daños a infraestructuras propiedad Municipal, procedimiento conciliatorio con empresa a quien </w:t>
      </w:r>
      <w:r w:rsidR="003F0512">
        <w:rPr>
          <w:rFonts w:ascii="Arial" w:hAnsi="Arial" w:cs="Arial"/>
          <w:sz w:val="24"/>
          <w:szCs w:val="24"/>
          <w:lang w:val="es-ES_tradnl"/>
        </w:rPr>
        <w:t xml:space="preserve"> se le infracciono por derrame químico ocasionando daños al medio ambiente</w:t>
      </w:r>
      <w:r w:rsidR="00A328E0">
        <w:rPr>
          <w:rFonts w:ascii="Arial" w:hAnsi="Arial" w:cs="Arial"/>
          <w:sz w:val="24"/>
          <w:szCs w:val="24"/>
          <w:lang w:val="es-ES_tradnl"/>
        </w:rPr>
        <w:t>, misma que cubrió el pago de la multa y corrigió la irregularidad detectada.</w:t>
      </w:r>
    </w:p>
    <w:p w:rsidR="00A328E0" w:rsidRDefault="00A328E0" w:rsidP="00FD6C59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328E0" w:rsidRDefault="00A328E0" w:rsidP="00FD6C59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Conveníamos con el propietario del Taller </w:t>
      </w:r>
      <w:r w:rsidR="003F0512">
        <w:rPr>
          <w:rFonts w:ascii="Arial" w:hAnsi="Arial" w:cs="Arial"/>
          <w:sz w:val="24"/>
          <w:szCs w:val="24"/>
          <w:lang w:val="es-ES_tradnl"/>
        </w:rPr>
        <w:t xml:space="preserve">Mecánica General </w:t>
      </w:r>
      <w:r>
        <w:rPr>
          <w:rFonts w:ascii="Arial" w:hAnsi="Arial" w:cs="Arial"/>
          <w:sz w:val="24"/>
          <w:szCs w:val="24"/>
          <w:lang w:val="es-ES_tradnl"/>
        </w:rPr>
        <w:t>las Tres de Polanco, S.A. de C.V., quien demando al Ayuntamiento de San Pedro Tlaquepaque, ahorrándonos el 40% de la cantidad demandada.</w:t>
      </w:r>
    </w:p>
    <w:p w:rsidR="003F0512" w:rsidRDefault="003F0512" w:rsidP="00FD6C59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328E0" w:rsidRPr="00FD6C59" w:rsidRDefault="00A328E0" w:rsidP="00FD6C59">
      <w:pPr>
        <w:pStyle w:val="Prrafodelista"/>
        <w:spacing w:line="360" w:lineRule="auto"/>
        <w:ind w:left="0"/>
        <w:jc w:val="both"/>
        <w:rPr>
          <w:rFonts w:ascii="Arial" w:eastAsia="TAFOTT+ArialMT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Concluimos por mediación con</w:t>
      </w:r>
      <w:r w:rsidR="001C7AD1">
        <w:rPr>
          <w:rFonts w:ascii="Arial" w:hAnsi="Arial" w:cs="Arial"/>
          <w:sz w:val="24"/>
          <w:szCs w:val="24"/>
          <w:lang w:val="es-ES_tradnl"/>
        </w:rPr>
        <w:t xml:space="preserve"> el representante legal de</w:t>
      </w:r>
      <w:r>
        <w:rPr>
          <w:rFonts w:ascii="Arial" w:hAnsi="Arial" w:cs="Arial"/>
          <w:sz w:val="24"/>
          <w:szCs w:val="24"/>
          <w:lang w:val="es-ES_tradnl"/>
        </w:rPr>
        <w:t xml:space="preserve"> la empres</w:t>
      </w:r>
      <w:r w:rsidR="003D30EF">
        <w:rPr>
          <w:rFonts w:ascii="Arial" w:hAnsi="Arial" w:cs="Arial"/>
          <w:sz w:val="24"/>
          <w:szCs w:val="24"/>
          <w:lang w:val="es-ES_tradnl"/>
        </w:rPr>
        <w:t xml:space="preserve">a Servicios Industriales SARRE, </w:t>
      </w:r>
      <w:r>
        <w:rPr>
          <w:rFonts w:ascii="Arial" w:hAnsi="Arial" w:cs="Arial"/>
          <w:sz w:val="24"/>
          <w:szCs w:val="24"/>
          <w:lang w:val="es-ES_tradnl"/>
        </w:rPr>
        <w:t>S.A. DE C.V.</w:t>
      </w:r>
      <w:r w:rsidR="001C7AD1">
        <w:rPr>
          <w:rFonts w:ascii="Arial" w:hAnsi="Arial" w:cs="Arial"/>
          <w:sz w:val="24"/>
          <w:szCs w:val="24"/>
          <w:lang w:val="es-ES_tradnl"/>
        </w:rPr>
        <w:t>, 08 litigios judiciales, desistiéndose de la acción legal.</w:t>
      </w:r>
    </w:p>
    <w:p w:rsidR="001C7AD1" w:rsidRDefault="00F722CB" w:rsidP="001C7AD1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 </w:t>
      </w:r>
    </w:p>
    <w:p w:rsidR="00B10231" w:rsidRPr="005949E4" w:rsidRDefault="00B10231" w:rsidP="005949E4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A66CF" w:rsidRDefault="008669A6" w:rsidP="00E84BFD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957B4D">
        <w:rPr>
          <w:rFonts w:ascii="Arial" w:hAnsi="Arial" w:cs="Arial"/>
          <w:sz w:val="24"/>
          <w:szCs w:val="24"/>
        </w:rPr>
        <w:t>S</w:t>
      </w:r>
      <w:r w:rsidR="00443F72">
        <w:rPr>
          <w:rFonts w:ascii="Arial" w:hAnsi="Arial" w:cs="Arial"/>
          <w:sz w:val="24"/>
          <w:szCs w:val="24"/>
        </w:rPr>
        <w:t>eguimos trabajando en 03</w:t>
      </w:r>
      <w:r w:rsidRPr="00957B4D">
        <w:rPr>
          <w:rFonts w:ascii="Arial" w:hAnsi="Arial" w:cs="Arial"/>
          <w:bCs/>
          <w:iCs/>
          <w:sz w:val="24"/>
          <w:szCs w:val="24"/>
        </w:rPr>
        <w:t xml:space="preserve"> Proyectos de Servicios derivados del Programa Operativo Anual</w:t>
      </w:r>
      <w:r w:rsidR="00BE47C7">
        <w:rPr>
          <w:rFonts w:ascii="Arial" w:hAnsi="Arial" w:cs="Arial"/>
          <w:bCs/>
          <w:iCs/>
          <w:sz w:val="24"/>
          <w:szCs w:val="24"/>
        </w:rPr>
        <w:t xml:space="preserve"> </w:t>
      </w:r>
      <w:r w:rsidR="006A66CF">
        <w:rPr>
          <w:rFonts w:ascii="Arial" w:hAnsi="Arial" w:cs="Arial"/>
          <w:bCs/>
          <w:iCs/>
          <w:sz w:val="24"/>
          <w:szCs w:val="24"/>
        </w:rPr>
        <w:t>con los siguientes resultados.</w:t>
      </w:r>
    </w:p>
    <w:p w:rsidR="002B26FF" w:rsidRPr="00B11CC0" w:rsidRDefault="00BE47C7" w:rsidP="00E84BF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7B4D">
        <w:rPr>
          <w:rFonts w:ascii="Arial" w:hAnsi="Arial" w:cs="Arial"/>
          <w:b/>
          <w:sz w:val="24"/>
          <w:szCs w:val="24"/>
        </w:rPr>
        <w:t>Asesoría consultiva legal gratuita a ciudadanos</w:t>
      </w:r>
      <w:r w:rsidR="00745CA5">
        <w:rPr>
          <w:rFonts w:ascii="Arial" w:hAnsi="Arial" w:cs="Arial"/>
          <w:b/>
          <w:sz w:val="24"/>
          <w:szCs w:val="24"/>
        </w:rPr>
        <w:t>,</w:t>
      </w:r>
      <w:r w:rsidR="002B26FF">
        <w:rPr>
          <w:rFonts w:ascii="Arial" w:hAnsi="Arial" w:cs="Arial"/>
          <w:b/>
          <w:sz w:val="24"/>
          <w:szCs w:val="24"/>
        </w:rPr>
        <w:t xml:space="preserve"> </w:t>
      </w:r>
      <w:r w:rsidR="002B26FF" w:rsidRPr="00CF0808">
        <w:rPr>
          <w:rFonts w:ascii="Arial" w:hAnsi="Arial" w:cs="Arial"/>
          <w:sz w:val="24"/>
          <w:szCs w:val="24"/>
        </w:rPr>
        <w:t>beneficiando a</w:t>
      </w:r>
      <w:r w:rsidRPr="00CF0808">
        <w:rPr>
          <w:rFonts w:ascii="Arial" w:hAnsi="Arial" w:cs="Arial"/>
          <w:sz w:val="24"/>
          <w:szCs w:val="24"/>
        </w:rPr>
        <w:t xml:space="preserve"> un total de 158</w:t>
      </w:r>
      <w:r w:rsidR="00AD55FE" w:rsidRPr="00AD55FE">
        <w:rPr>
          <w:rFonts w:ascii="Arial" w:hAnsi="Arial" w:cs="Arial"/>
          <w:sz w:val="24"/>
          <w:szCs w:val="24"/>
        </w:rPr>
        <w:t xml:space="preserve"> </w:t>
      </w:r>
      <w:r w:rsidR="002B26FF">
        <w:rPr>
          <w:rFonts w:ascii="Arial" w:hAnsi="Arial" w:cs="Arial"/>
          <w:sz w:val="24"/>
          <w:szCs w:val="24"/>
        </w:rPr>
        <w:t xml:space="preserve">ciudadanos brindándoles </w:t>
      </w:r>
      <w:r w:rsidR="005E5DCB">
        <w:rPr>
          <w:rFonts w:ascii="Arial" w:hAnsi="Arial" w:cs="Arial"/>
          <w:sz w:val="24"/>
          <w:szCs w:val="24"/>
        </w:rPr>
        <w:t xml:space="preserve">consultoría </w:t>
      </w:r>
      <w:r w:rsidR="00AD55FE" w:rsidRPr="00957B4D">
        <w:rPr>
          <w:rFonts w:ascii="Arial" w:hAnsi="Arial" w:cs="Arial"/>
          <w:sz w:val="24"/>
          <w:szCs w:val="24"/>
        </w:rPr>
        <w:t>en diversas</w:t>
      </w:r>
      <w:r w:rsidR="005E5DCB">
        <w:rPr>
          <w:rFonts w:ascii="Arial" w:hAnsi="Arial" w:cs="Arial"/>
          <w:sz w:val="24"/>
          <w:szCs w:val="24"/>
        </w:rPr>
        <w:t xml:space="preserve"> materias jurídicas a los habitantes</w:t>
      </w:r>
      <w:r w:rsidR="00AD55FE" w:rsidRPr="00957B4D">
        <w:rPr>
          <w:rFonts w:ascii="Arial" w:hAnsi="Arial" w:cs="Arial"/>
          <w:sz w:val="24"/>
          <w:szCs w:val="24"/>
        </w:rPr>
        <w:t xml:space="preserve"> del Municipio, </w:t>
      </w:r>
      <w:r w:rsidR="00AD55FE">
        <w:rPr>
          <w:rFonts w:ascii="Arial" w:hAnsi="Arial" w:cs="Arial"/>
          <w:sz w:val="24"/>
          <w:szCs w:val="24"/>
        </w:rPr>
        <w:t>l</w:t>
      </w:r>
      <w:r w:rsidR="005E5DCB">
        <w:rPr>
          <w:rFonts w:ascii="Arial" w:hAnsi="Arial" w:cs="Arial"/>
          <w:sz w:val="24"/>
          <w:szCs w:val="24"/>
        </w:rPr>
        <w:t>os cuales</w:t>
      </w:r>
      <w:r w:rsidR="00AD55FE" w:rsidRPr="00957B4D">
        <w:rPr>
          <w:rFonts w:ascii="Arial" w:hAnsi="Arial" w:cs="Arial"/>
          <w:sz w:val="24"/>
          <w:szCs w:val="24"/>
        </w:rPr>
        <w:t xml:space="preserve"> fueron canalizados </w:t>
      </w:r>
      <w:r w:rsidR="00AD55FE">
        <w:rPr>
          <w:rFonts w:ascii="Arial" w:hAnsi="Arial" w:cs="Arial"/>
          <w:sz w:val="24"/>
          <w:szCs w:val="24"/>
        </w:rPr>
        <w:t>a las dependencias competentes</w:t>
      </w:r>
      <w:r w:rsidR="00B11CC0">
        <w:rPr>
          <w:rFonts w:ascii="Arial" w:hAnsi="Arial" w:cs="Arial"/>
          <w:sz w:val="24"/>
          <w:szCs w:val="24"/>
        </w:rPr>
        <w:t>, con el propósito de a</w:t>
      </w:r>
      <w:r w:rsidR="00B11CC0" w:rsidRPr="00B11CC0">
        <w:rPr>
          <w:rFonts w:ascii="Arial" w:hAnsi="Arial" w:cs="Arial"/>
          <w:sz w:val="24"/>
          <w:szCs w:val="24"/>
        </w:rPr>
        <w:t>segurar que la atención en trámites y servicios sea homologada y se realice de forma eficiente, amable e incluyente a toda persona que los solicite bajo el principio de inclusión universal.</w:t>
      </w:r>
    </w:p>
    <w:p w:rsidR="008669A6" w:rsidRPr="00745CA5" w:rsidRDefault="00BE47C7" w:rsidP="00E84BFD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45CA5" w:rsidRPr="00745CA5">
        <w:rPr>
          <w:rFonts w:ascii="Arial" w:hAnsi="Arial" w:cs="Arial"/>
          <w:sz w:val="24"/>
          <w:szCs w:val="24"/>
        </w:rPr>
        <w:t>Elaboramos</w:t>
      </w:r>
      <w:r w:rsidRPr="00745CA5">
        <w:rPr>
          <w:rFonts w:ascii="Arial" w:hAnsi="Arial" w:cs="Arial"/>
          <w:sz w:val="24"/>
          <w:szCs w:val="24"/>
        </w:rPr>
        <w:t xml:space="preserve"> </w:t>
      </w:r>
      <w:r w:rsidR="00745CA5" w:rsidRPr="00745CA5">
        <w:rPr>
          <w:rFonts w:ascii="Arial" w:hAnsi="Arial" w:cs="Arial"/>
          <w:sz w:val="24"/>
          <w:szCs w:val="24"/>
        </w:rPr>
        <w:t xml:space="preserve">un </w:t>
      </w:r>
      <w:r w:rsidR="00745CA5">
        <w:rPr>
          <w:rFonts w:ascii="Arial" w:hAnsi="Arial" w:cs="Arial"/>
          <w:sz w:val="24"/>
          <w:szCs w:val="24"/>
        </w:rPr>
        <w:t xml:space="preserve">total de </w:t>
      </w:r>
      <w:r w:rsidR="00745CA5" w:rsidRPr="00745CA5">
        <w:rPr>
          <w:rFonts w:ascii="Arial" w:hAnsi="Arial" w:cs="Arial"/>
          <w:sz w:val="24"/>
          <w:szCs w:val="24"/>
        </w:rPr>
        <w:t xml:space="preserve">379 </w:t>
      </w:r>
      <w:r w:rsidR="00443F72" w:rsidRPr="00745CA5">
        <w:rPr>
          <w:rFonts w:ascii="Arial" w:hAnsi="Arial" w:cs="Arial"/>
          <w:sz w:val="24"/>
          <w:szCs w:val="24"/>
        </w:rPr>
        <w:t xml:space="preserve"> </w:t>
      </w:r>
      <w:r w:rsidR="00443F72" w:rsidRPr="00745CA5">
        <w:rPr>
          <w:rFonts w:ascii="Arial" w:hAnsi="Arial" w:cs="Arial"/>
          <w:b/>
          <w:sz w:val="24"/>
          <w:szCs w:val="24"/>
        </w:rPr>
        <w:t>Convenios de Gestión</w:t>
      </w:r>
      <w:r w:rsidRPr="00745CA5">
        <w:rPr>
          <w:rFonts w:ascii="Arial" w:hAnsi="Arial" w:cs="Arial"/>
          <w:b/>
          <w:sz w:val="24"/>
          <w:szCs w:val="24"/>
        </w:rPr>
        <w:t xml:space="preserve"> con Particulares</w:t>
      </w:r>
      <w:r w:rsidR="00745CA5">
        <w:rPr>
          <w:rFonts w:ascii="Arial" w:hAnsi="Arial" w:cs="Arial"/>
          <w:sz w:val="24"/>
          <w:szCs w:val="24"/>
        </w:rPr>
        <w:t>,</w:t>
      </w:r>
      <w:r w:rsidR="00AD55FE" w:rsidRPr="00745CA5">
        <w:rPr>
          <w:rFonts w:ascii="Arial" w:hAnsi="Arial" w:cs="Arial"/>
          <w:sz w:val="24"/>
          <w:szCs w:val="24"/>
        </w:rPr>
        <w:t xml:space="preserve"> </w:t>
      </w:r>
      <w:r w:rsidR="00745CA5" w:rsidRPr="00957B4D">
        <w:rPr>
          <w:rFonts w:ascii="Arial" w:hAnsi="Arial" w:cs="Arial"/>
          <w:sz w:val="24"/>
          <w:szCs w:val="24"/>
        </w:rPr>
        <w:t xml:space="preserve"> </w:t>
      </w:r>
      <w:r w:rsidR="00745CA5">
        <w:rPr>
          <w:rFonts w:ascii="Arial" w:hAnsi="Arial" w:cs="Arial"/>
          <w:sz w:val="24"/>
          <w:szCs w:val="24"/>
        </w:rPr>
        <w:t>con el fin de h</w:t>
      </w:r>
      <w:r w:rsidR="00745CA5" w:rsidRPr="00745CA5">
        <w:rPr>
          <w:rFonts w:ascii="Arial" w:hAnsi="Arial" w:cs="Arial"/>
          <w:sz w:val="24"/>
          <w:szCs w:val="24"/>
        </w:rPr>
        <w:t>omologar criterios jurídicos y de atención en los procesos administrativos para evitar la sobre regulación.</w:t>
      </w:r>
    </w:p>
    <w:p w:rsidR="008669A6" w:rsidRPr="009675FA" w:rsidRDefault="00443F72" w:rsidP="008669A6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Durante los meses de Abril a Junio del 2019, </w:t>
      </w:r>
      <w:r w:rsidR="008669A6" w:rsidRPr="00957B4D">
        <w:rPr>
          <w:rFonts w:ascii="Arial" w:hAnsi="Arial" w:cs="Arial"/>
          <w:sz w:val="24"/>
          <w:szCs w:val="24"/>
        </w:rPr>
        <w:t xml:space="preserve"> </w:t>
      </w:r>
      <w:r w:rsidR="00FE5420">
        <w:rPr>
          <w:rFonts w:ascii="Arial" w:hAnsi="Arial" w:cs="Arial"/>
          <w:sz w:val="24"/>
          <w:szCs w:val="24"/>
        </w:rPr>
        <w:t xml:space="preserve">con el objetivo de dar a conocer  las </w:t>
      </w:r>
      <w:r w:rsidR="00FE5420" w:rsidRPr="00FE5420">
        <w:rPr>
          <w:rFonts w:ascii="Arial" w:hAnsi="Arial" w:cs="Arial"/>
          <w:sz w:val="24"/>
          <w:szCs w:val="24"/>
        </w:rPr>
        <w:t>Obligaciones y responsabilidades de los choferes de vehículos oficiales del H. Ayuntamiento de San Pedro Tlaquepaque, conocimiento del área de siniestros</w:t>
      </w:r>
      <w:r w:rsidR="00FE5420">
        <w:t xml:space="preserve">, </w:t>
      </w:r>
      <w:r w:rsidR="00FE5420">
        <w:rPr>
          <w:rFonts w:ascii="Arial" w:hAnsi="Arial" w:cs="Arial"/>
          <w:sz w:val="24"/>
          <w:szCs w:val="24"/>
        </w:rPr>
        <w:t xml:space="preserve"> brindamos</w:t>
      </w:r>
      <w:r w:rsidR="00F005E2">
        <w:rPr>
          <w:rFonts w:ascii="Arial" w:hAnsi="Arial" w:cs="Arial"/>
          <w:sz w:val="24"/>
          <w:szCs w:val="24"/>
        </w:rPr>
        <w:t xml:space="preserve"> </w:t>
      </w:r>
      <w:r w:rsidR="00D05305">
        <w:rPr>
          <w:rFonts w:ascii="Arial" w:hAnsi="Arial" w:cs="Arial"/>
          <w:sz w:val="24"/>
          <w:szCs w:val="24"/>
        </w:rPr>
        <w:t>pláticas</w:t>
      </w:r>
      <w:r w:rsidR="00F005E2">
        <w:rPr>
          <w:rFonts w:ascii="Arial" w:hAnsi="Arial" w:cs="Arial"/>
          <w:sz w:val="24"/>
          <w:szCs w:val="24"/>
        </w:rPr>
        <w:t xml:space="preserve"> preventivas a choferes de</w:t>
      </w:r>
      <w:r w:rsidR="00AD55FE">
        <w:rPr>
          <w:rFonts w:ascii="Arial" w:hAnsi="Arial" w:cs="Arial"/>
          <w:sz w:val="24"/>
          <w:szCs w:val="24"/>
        </w:rPr>
        <w:t xml:space="preserve"> la Dirección de Aseo Público, </w:t>
      </w:r>
      <w:r w:rsidR="00DC5BFD">
        <w:rPr>
          <w:rFonts w:ascii="Arial" w:hAnsi="Arial" w:cs="Arial"/>
          <w:sz w:val="24"/>
          <w:szCs w:val="24"/>
        </w:rPr>
        <w:t xml:space="preserve"> </w:t>
      </w:r>
      <w:r w:rsidR="00AD55FE">
        <w:rPr>
          <w:rFonts w:ascii="Arial" w:hAnsi="Arial" w:cs="Arial"/>
          <w:sz w:val="24"/>
          <w:szCs w:val="24"/>
        </w:rPr>
        <w:t xml:space="preserve">Dirección </w:t>
      </w:r>
      <w:r w:rsidR="00DC5BFD">
        <w:rPr>
          <w:rFonts w:ascii="Arial" w:hAnsi="Arial" w:cs="Arial"/>
          <w:sz w:val="24"/>
          <w:szCs w:val="24"/>
        </w:rPr>
        <w:t xml:space="preserve">General </w:t>
      </w:r>
      <w:r w:rsidR="00AD55FE">
        <w:rPr>
          <w:rFonts w:ascii="Arial" w:hAnsi="Arial" w:cs="Arial"/>
          <w:sz w:val="24"/>
          <w:szCs w:val="24"/>
        </w:rPr>
        <w:t>de Protección Civil y Bomberos</w:t>
      </w:r>
      <w:r>
        <w:rPr>
          <w:rFonts w:ascii="Arial" w:hAnsi="Arial" w:cs="Arial"/>
          <w:sz w:val="24"/>
          <w:szCs w:val="24"/>
        </w:rPr>
        <w:t xml:space="preserve">, </w:t>
      </w:r>
      <w:r w:rsidR="00F005E2">
        <w:rPr>
          <w:rFonts w:ascii="Arial" w:hAnsi="Arial" w:cs="Arial"/>
          <w:sz w:val="24"/>
          <w:szCs w:val="24"/>
        </w:rPr>
        <w:t>dependencias del Ayuntamiento de San Pedro Tlaq</w:t>
      </w:r>
      <w:r w:rsidR="00D05305">
        <w:rPr>
          <w:rFonts w:ascii="Arial" w:hAnsi="Arial" w:cs="Arial"/>
          <w:sz w:val="24"/>
          <w:szCs w:val="24"/>
        </w:rPr>
        <w:t>uepaque</w:t>
      </w:r>
      <w:r w:rsidR="00175C48">
        <w:rPr>
          <w:rFonts w:ascii="Arial" w:hAnsi="Arial" w:cs="Arial"/>
          <w:sz w:val="24"/>
          <w:szCs w:val="24"/>
        </w:rPr>
        <w:t>, dándoles a</w:t>
      </w:r>
      <w:r w:rsidR="001C71EA">
        <w:rPr>
          <w:rFonts w:ascii="Arial" w:hAnsi="Arial" w:cs="Arial"/>
          <w:sz w:val="24"/>
          <w:szCs w:val="24"/>
        </w:rPr>
        <w:t xml:space="preserve"> conocer tres manuales</w:t>
      </w:r>
      <w:r w:rsidR="00A37A6D">
        <w:rPr>
          <w:rFonts w:ascii="Arial" w:hAnsi="Arial" w:cs="Arial"/>
          <w:sz w:val="24"/>
          <w:szCs w:val="24"/>
        </w:rPr>
        <w:t xml:space="preserve"> preventivos de manejo</w:t>
      </w:r>
      <w:r w:rsidR="009675FA">
        <w:rPr>
          <w:rFonts w:ascii="Arial" w:hAnsi="Arial" w:cs="Arial"/>
          <w:sz w:val="24"/>
          <w:szCs w:val="24"/>
        </w:rPr>
        <w:t xml:space="preserve">, así como el Reglamento de </w:t>
      </w:r>
      <w:r w:rsidR="009675FA" w:rsidRPr="009675FA">
        <w:rPr>
          <w:rFonts w:ascii="Arial" w:hAnsi="Arial" w:cs="Arial"/>
          <w:sz w:val="24"/>
          <w:szCs w:val="24"/>
        </w:rPr>
        <w:t>Obligaciones y responsabilidades de los choferes de vehículos oficiales</w:t>
      </w:r>
      <w:r w:rsidR="00530047">
        <w:rPr>
          <w:rFonts w:ascii="Arial" w:hAnsi="Arial" w:cs="Arial"/>
          <w:sz w:val="24"/>
          <w:szCs w:val="24"/>
        </w:rPr>
        <w:t>, con la finalidad  r</w:t>
      </w:r>
      <w:r w:rsidR="00530047" w:rsidRPr="00530047">
        <w:rPr>
          <w:rFonts w:ascii="Arial" w:hAnsi="Arial" w:cs="Arial"/>
          <w:sz w:val="24"/>
          <w:szCs w:val="24"/>
        </w:rPr>
        <w:t>educir la incidencia de accidentes en los choferes de vehículos oficiales a través de la capacitación y la mejora de los controles</w:t>
      </w:r>
      <w:r w:rsidR="002E1913">
        <w:rPr>
          <w:rFonts w:ascii="Arial" w:hAnsi="Arial" w:cs="Arial"/>
          <w:sz w:val="24"/>
          <w:szCs w:val="24"/>
        </w:rPr>
        <w:t xml:space="preserve">, </w:t>
      </w:r>
      <w:r w:rsidR="002E1913">
        <w:rPr>
          <w:rFonts w:ascii="Arial" w:hAnsi="Arial" w:cs="Arial"/>
        </w:rPr>
        <w:t>consolidando</w:t>
      </w:r>
      <w:r w:rsidR="002E1913" w:rsidRPr="002E1913">
        <w:rPr>
          <w:rFonts w:ascii="Arial" w:hAnsi="Arial" w:cs="Arial"/>
        </w:rPr>
        <w:t xml:space="preserve"> el control interno para la administración de los recursos financieros</w:t>
      </w:r>
      <w:r w:rsidR="002E1913">
        <w:t>.</w:t>
      </w:r>
    </w:p>
    <w:p w:rsidR="008669A6" w:rsidRPr="00957B4D" w:rsidRDefault="008669A6" w:rsidP="00BA13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57B4D">
        <w:rPr>
          <w:rFonts w:ascii="Arial" w:hAnsi="Arial" w:cs="Arial"/>
          <w:sz w:val="24"/>
          <w:szCs w:val="24"/>
        </w:rPr>
        <w:t>Sin otro particular por el momento quedo a sus órdenes para cualquier aclaración.</w:t>
      </w:r>
    </w:p>
    <w:p w:rsidR="009675FA" w:rsidRDefault="008669A6" w:rsidP="00C128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7B4D">
        <w:rPr>
          <w:rFonts w:ascii="Arial" w:hAnsi="Arial" w:cs="Arial"/>
          <w:b/>
          <w:sz w:val="24"/>
          <w:szCs w:val="24"/>
        </w:rPr>
        <w:t xml:space="preserve"> </w:t>
      </w:r>
    </w:p>
    <w:p w:rsidR="008669A6" w:rsidRPr="00957B4D" w:rsidRDefault="008669A6" w:rsidP="00C128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7B4D">
        <w:rPr>
          <w:rFonts w:ascii="Arial" w:hAnsi="Arial" w:cs="Arial"/>
          <w:b/>
          <w:sz w:val="24"/>
          <w:szCs w:val="24"/>
        </w:rPr>
        <w:t>A T E N T A M E N T E</w:t>
      </w:r>
    </w:p>
    <w:p w:rsidR="008669A6" w:rsidRPr="00957B4D" w:rsidRDefault="008669A6" w:rsidP="00C128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69A6" w:rsidRPr="00957B4D" w:rsidRDefault="00206388" w:rsidP="00C128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JOSÉ HUGO LEAL MOYA</w:t>
      </w:r>
    </w:p>
    <w:p w:rsidR="008669A6" w:rsidRPr="00957B4D" w:rsidRDefault="008669A6" w:rsidP="00C128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7B4D">
        <w:rPr>
          <w:rFonts w:ascii="Arial" w:hAnsi="Arial" w:cs="Arial"/>
          <w:b/>
          <w:sz w:val="24"/>
          <w:szCs w:val="24"/>
        </w:rPr>
        <w:t>DIRECTOR GENERAL JURÍDICO</w:t>
      </w:r>
    </w:p>
    <w:p w:rsidR="009675FA" w:rsidRDefault="009675FA" w:rsidP="00C12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C.c.p</w:t>
      </w:r>
      <w:proofErr w:type="spellEnd"/>
      <w:r>
        <w:rPr>
          <w:rFonts w:ascii="Arial" w:hAnsi="Arial" w:cs="Arial"/>
          <w:sz w:val="24"/>
          <w:szCs w:val="24"/>
        </w:rPr>
        <w:t xml:space="preserve">.- Mtro. José Luis Salazar Martínez.- </w:t>
      </w:r>
      <w:r w:rsidR="00F40054">
        <w:rPr>
          <w:rFonts w:ascii="Arial" w:hAnsi="Arial" w:cs="Arial"/>
          <w:sz w:val="24"/>
          <w:szCs w:val="24"/>
        </w:rPr>
        <w:t>Síndico</w:t>
      </w:r>
      <w:r>
        <w:rPr>
          <w:rFonts w:ascii="Arial" w:hAnsi="Arial" w:cs="Arial"/>
          <w:sz w:val="24"/>
          <w:szCs w:val="24"/>
        </w:rPr>
        <w:t xml:space="preserve"> Municipal.- Para su conocimiento</w:t>
      </w:r>
    </w:p>
    <w:p w:rsidR="00222B15" w:rsidRDefault="00222B15" w:rsidP="00C12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PGE/</w:t>
      </w:r>
      <w:proofErr w:type="spellStart"/>
      <w:r>
        <w:rPr>
          <w:rFonts w:ascii="Arial" w:hAnsi="Arial" w:cs="Arial"/>
          <w:sz w:val="24"/>
          <w:szCs w:val="24"/>
        </w:rPr>
        <w:t>rgr</w:t>
      </w:r>
      <w:proofErr w:type="spellEnd"/>
    </w:p>
    <w:p w:rsidR="009675FA" w:rsidRPr="009675FA" w:rsidRDefault="009675FA" w:rsidP="00C12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6385" w:rsidRDefault="00616385">
      <w:pPr>
        <w:rPr>
          <w:rFonts w:ascii="Arial" w:hAnsi="Arial" w:cs="Arial"/>
          <w:sz w:val="24"/>
          <w:szCs w:val="24"/>
        </w:rPr>
      </w:pPr>
    </w:p>
    <w:p w:rsidR="004D07C7" w:rsidRDefault="004D07C7">
      <w:pPr>
        <w:rPr>
          <w:rFonts w:ascii="Arial" w:hAnsi="Arial" w:cs="Arial"/>
          <w:sz w:val="24"/>
          <w:szCs w:val="24"/>
        </w:rPr>
      </w:pPr>
    </w:p>
    <w:p w:rsidR="00745CA5" w:rsidRDefault="00745CA5">
      <w:pPr>
        <w:rPr>
          <w:rFonts w:ascii="Arial" w:hAnsi="Arial" w:cs="Arial"/>
          <w:sz w:val="24"/>
          <w:szCs w:val="24"/>
        </w:rPr>
      </w:pPr>
    </w:p>
    <w:p w:rsidR="00745CA5" w:rsidRDefault="00745CA5">
      <w:pPr>
        <w:rPr>
          <w:rFonts w:ascii="Arial" w:hAnsi="Arial" w:cs="Arial"/>
          <w:sz w:val="24"/>
          <w:szCs w:val="24"/>
        </w:rPr>
      </w:pPr>
    </w:p>
    <w:p w:rsidR="00745CA5" w:rsidRDefault="00745CA5">
      <w:pPr>
        <w:rPr>
          <w:rFonts w:ascii="Arial" w:hAnsi="Arial" w:cs="Arial"/>
          <w:sz w:val="24"/>
          <w:szCs w:val="24"/>
        </w:rPr>
      </w:pPr>
    </w:p>
    <w:p w:rsidR="00745CA5" w:rsidRDefault="00745CA5">
      <w:pPr>
        <w:rPr>
          <w:rFonts w:ascii="Arial" w:hAnsi="Arial" w:cs="Arial"/>
          <w:sz w:val="24"/>
          <w:szCs w:val="24"/>
        </w:rPr>
      </w:pPr>
    </w:p>
    <w:p w:rsidR="00745CA5" w:rsidRDefault="00745CA5">
      <w:pPr>
        <w:rPr>
          <w:rFonts w:ascii="Arial" w:hAnsi="Arial" w:cs="Arial"/>
          <w:sz w:val="24"/>
          <w:szCs w:val="24"/>
        </w:rPr>
      </w:pPr>
    </w:p>
    <w:p w:rsidR="004D07C7" w:rsidRDefault="004D07C7">
      <w:pPr>
        <w:rPr>
          <w:rFonts w:ascii="Arial" w:hAnsi="Arial" w:cs="Arial"/>
          <w:sz w:val="24"/>
          <w:szCs w:val="24"/>
        </w:rPr>
      </w:pPr>
    </w:p>
    <w:p w:rsidR="004D07C7" w:rsidRDefault="004D07C7">
      <w:pPr>
        <w:rPr>
          <w:rFonts w:ascii="Arial" w:hAnsi="Arial" w:cs="Arial"/>
          <w:sz w:val="24"/>
          <w:szCs w:val="24"/>
        </w:rPr>
      </w:pPr>
    </w:p>
    <w:p w:rsidR="003C3E69" w:rsidRDefault="003C3E69">
      <w:pPr>
        <w:rPr>
          <w:rFonts w:ascii="Arial" w:hAnsi="Arial" w:cs="Arial"/>
          <w:sz w:val="24"/>
          <w:szCs w:val="24"/>
        </w:rPr>
      </w:pPr>
    </w:p>
    <w:p w:rsidR="003C3E69" w:rsidRPr="00957B4D" w:rsidRDefault="003C3E69" w:rsidP="003C3E6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57B4D">
        <w:rPr>
          <w:rFonts w:ascii="Arial" w:hAnsi="Arial" w:cs="Arial"/>
          <w:b/>
          <w:sz w:val="24"/>
          <w:szCs w:val="24"/>
        </w:rPr>
        <w:t>TABLAS</w:t>
      </w:r>
      <w:r>
        <w:rPr>
          <w:rFonts w:ascii="Arial" w:hAnsi="Arial" w:cs="Arial"/>
          <w:b/>
          <w:sz w:val="24"/>
          <w:szCs w:val="24"/>
        </w:rPr>
        <w:t xml:space="preserve"> y GRAFICAS</w:t>
      </w:r>
      <w:r w:rsidRPr="00957B4D">
        <w:rPr>
          <w:rFonts w:ascii="Arial" w:hAnsi="Arial" w:cs="Arial"/>
          <w:b/>
          <w:sz w:val="24"/>
          <w:szCs w:val="24"/>
        </w:rPr>
        <w:t xml:space="preserve"> ESTADISTICAS</w:t>
      </w:r>
    </w:p>
    <w:p w:rsidR="003C3E69" w:rsidRPr="00957B4D" w:rsidRDefault="003C3E69" w:rsidP="003C3E6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7B4D">
        <w:rPr>
          <w:rFonts w:ascii="Arial" w:hAnsi="Arial" w:cs="Arial"/>
          <w:b/>
          <w:sz w:val="24"/>
          <w:szCs w:val="24"/>
        </w:rPr>
        <w:t>JEFATURA DE LO CONTENCIOSO ADMINISTRATIVO</w:t>
      </w:r>
    </w:p>
    <w:tbl>
      <w:tblPr>
        <w:tblStyle w:val="Tabladecuadrcula4-nfasis2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89"/>
        <w:gridCol w:w="4552"/>
        <w:gridCol w:w="3407"/>
      </w:tblGrid>
      <w:tr w:rsidR="00443F72" w:rsidRPr="00957B4D" w:rsidTr="002A3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hideMark/>
          </w:tcPr>
          <w:p w:rsidR="003C3E69" w:rsidRPr="00957B4D" w:rsidRDefault="003C3E69" w:rsidP="002A356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No.</w:t>
            </w:r>
          </w:p>
        </w:tc>
        <w:tc>
          <w:tcPr>
            <w:tcW w:w="4552" w:type="dxa"/>
            <w:hideMark/>
          </w:tcPr>
          <w:p w:rsidR="003C3E69" w:rsidRPr="00957B4D" w:rsidRDefault="003C3E69" w:rsidP="002A356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DENOMINACION</w:t>
            </w:r>
          </w:p>
        </w:tc>
        <w:tc>
          <w:tcPr>
            <w:tcW w:w="3407" w:type="dxa"/>
            <w:hideMark/>
          </w:tcPr>
          <w:p w:rsidR="003C3E69" w:rsidRPr="00957B4D" w:rsidRDefault="003C3E69" w:rsidP="002A356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UNIDAD DE MEDIDA</w:t>
            </w:r>
          </w:p>
        </w:tc>
      </w:tr>
      <w:tr w:rsidR="00443F72" w:rsidRPr="00957B4D" w:rsidTr="002A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hideMark/>
          </w:tcPr>
          <w:p w:rsidR="003C3E69" w:rsidRPr="00957B4D" w:rsidRDefault="003C3E69" w:rsidP="002A356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 xml:space="preserve">1.- </w:t>
            </w:r>
          </w:p>
        </w:tc>
        <w:tc>
          <w:tcPr>
            <w:tcW w:w="4552" w:type="dxa"/>
            <w:hideMark/>
          </w:tcPr>
          <w:p w:rsidR="003C3E69" w:rsidRPr="00957B4D" w:rsidRDefault="003C3E69" w:rsidP="002A35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GESTIONES INTERNAS</w:t>
            </w:r>
          </w:p>
        </w:tc>
        <w:tc>
          <w:tcPr>
            <w:tcW w:w="3407" w:type="dxa"/>
          </w:tcPr>
          <w:p w:rsidR="003C3E69" w:rsidRPr="00957B4D" w:rsidRDefault="003C3E69" w:rsidP="002A35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35</w:t>
            </w:r>
          </w:p>
        </w:tc>
      </w:tr>
      <w:tr w:rsidR="00443F72" w:rsidRPr="00957B4D" w:rsidTr="002A3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hideMark/>
          </w:tcPr>
          <w:p w:rsidR="003C3E69" w:rsidRPr="00957B4D" w:rsidRDefault="003C3E69" w:rsidP="002A356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2.-</w:t>
            </w:r>
          </w:p>
        </w:tc>
        <w:tc>
          <w:tcPr>
            <w:tcW w:w="4552" w:type="dxa"/>
            <w:hideMark/>
          </w:tcPr>
          <w:p w:rsidR="003C3E69" w:rsidRPr="00957B4D" w:rsidRDefault="003C3E69" w:rsidP="002A35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QUEJAS</w:t>
            </w:r>
          </w:p>
        </w:tc>
        <w:tc>
          <w:tcPr>
            <w:tcW w:w="3407" w:type="dxa"/>
          </w:tcPr>
          <w:p w:rsidR="003C3E69" w:rsidRPr="00957B4D" w:rsidRDefault="003C3E69" w:rsidP="002A35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</w:t>
            </w:r>
          </w:p>
        </w:tc>
      </w:tr>
      <w:tr w:rsidR="00443F72" w:rsidRPr="00957B4D" w:rsidTr="002A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hideMark/>
          </w:tcPr>
          <w:p w:rsidR="003C3E69" w:rsidRPr="00957B4D" w:rsidRDefault="003C3E69" w:rsidP="002A356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3.-</w:t>
            </w:r>
          </w:p>
        </w:tc>
        <w:tc>
          <w:tcPr>
            <w:tcW w:w="4552" w:type="dxa"/>
            <w:hideMark/>
          </w:tcPr>
          <w:p w:rsidR="003C3E69" w:rsidRPr="00957B4D" w:rsidRDefault="003C3E69" w:rsidP="002A35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CIVILES</w:t>
            </w:r>
          </w:p>
        </w:tc>
        <w:tc>
          <w:tcPr>
            <w:tcW w:w="3407" w:type="dxa"/>
          </w:tcPr>
          <w:p w:rsidR="003C3E69" w:rsidRPr="00957B4D" w:rsidRDefault="003C3E69" w:rsidP="002A35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31</w:t>
            </w:r>
          </w:p>
        </w:tc>
      </w:tr>
      <w:tr w:rsidR="00443F72" w:rsidRPr="00957B4D" w:rsidTr="002A3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hideMark/>
          </w:tcPr>
          <w:p w:rsidR="003C3E69" w:rsidRPr="00957B4D" w:rsidRDefault="003C3E69" w:rsidP="002A356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4.-</w:t>
            </w:r>
          </w:p>
        </w:tc>
        <w:tc>
          <w:tcPr>
            <w:tcW w:w="4552" w:type="dxa"/>
            <w:hideMark/>
          </w:tcPr>
          <w:p w:rsidR="003C3E69" w:rsidRPr="00957B4D" w:rsidRDefault="003C3E69" w:rsidP="002A35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AMPAROS</w:t>
            </w:r>
          </w:p>
        </w:tc>
        <w:tc>
          <w:tcPr>
            <w:tcW w:w="3407" w:type="dxa"/>
          </w:tcPr>
          <w:p w:rsidR="003C3E69" w:rsidRPr="00957B4D" w:rsidRDefault="003C3E69" w:rsidP="002A35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83</w:t>
            </w:r>
          </w:p>
        </w:tc>
      </w:tr>
      <w:tr w:rsidR="00443F72" w:rsidRPr="00957B4D" w:rsidTr="002A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hideMark/>
          </w:tcPr>
          <w:p w:rsidR="003C3E69" w:rsidRPr="00957B4D" w:rsidRDefault="003C3E69" w:rsidP="002A356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5.-</w:t>
            </w:r>
          </w:p>
        </w:tc>
        <w:tc>
          <w:tcPr>
            <w:tcW w:w="4552" w:type="dxa"/>
            <w:hideMark/>
          </w:tcPr>
          <w:p w:rsidR="003C3E69" w:rsidRPr="00957B4D" w:rsidRDefault="003C3E69" w:rsidP="002A35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MERCANTILES INTERPUESTOS</w:t>
            </w:r>
          </w:p>
        </w:tc>
        <w:tc>
          <w:tcPr>
            <w:tcW w:w="3407" w:type="dxa"/>
          </w:tcPr>
          <w:p w:rsidR="003C3E69" w:rsidRPr="00957B4D" w:rsidRDefault="003C3E69" w:rsidP="002A35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01</w:t>
            </w:r>
          </w:p>
        </w:tc>
      </w:tr>
      <w:tr w:rsidR="00443F72" w:rsidRPr="00957B4D" w:rsidTr="002A3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hideMark/>
          </w:tcPr>
          <w:p w:rsidR="003C3E69" w:rsidRPr="00957B4D" w:rsidRDefault="003C3E69" w:rsidP="002A356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6.-</w:t>
            </w:r>
          </w:p>
        </w:tc>
        <w:tc>
          <w:tcPr>
            <w:tcW w:w="4552" w:type="dxa"/>
            <w:hideMark/>
          </w:tcPr>
          <w:p w:rsidR="003C3E69" w:rsidRPr="00957B4D" w:rsidRDefault="003C3E69" w:rsidP="002A35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JUICIOS DE NULIDAD</w:t>
            </w:r>
          </w:p>
        </w:tc>
        <w:tc>
          <w:tcPr>
            <w:tcW w:w="3407" w:type="dxa"/>
          </w:tcPr>
          <w:p w:rsidR="003C3E69" w:rsidRPr="00957B4D" w:rsidRDefault="003C3E69" w:rsidP="002A35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41</w:t>
            </w:r>
          </w:p>
        </w:tc>
      </w:tr>
      <w:tr w:rsidR="00443F72" w:rsidRPr="00957B4D" w:rsidTr="002A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hideMark/>
          </w:tcPr>
          <w:p w:rsidR="003C3E69" w:rsidRPr="00957B4D" w:rsidRDefault="003C3E69" w:rsidP="002A356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7.-</w:t>
            </w:r>
          </w:p>
        </w:tc>
        <w:tc>
          <w:tcPr>
            <w:tcW w:w="4552" w:type="dxa"/>
            <w:hideMark/>
          </w:tcPr>
          <w:p w:rsidR="003C3E69" w:rsidRPr="00957B4D" w:rsidRDefault="003C3E69" w:rsidP="002A35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CARPETAS DE INVESTIGACIÓN</w:t>
            </w:r>
          </w:p>
        </w:tc>
        <w:tc>
          <w:tcPr>
            <w:tcW w:w="3407" w:type="dxa"/>
          </w:tcPr>
          <w:p w:rsidR="003C3E69" w:rsidRPr="00957B4D" w:rsidRDefault="003C3E69" w:rsidP="002A35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</w:p>
        </w:tc>
      </w:tr>
      <w:tr w:rsidR="00443F72" w:rsidRPr="00957B4D" w:rsidTr="002A3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3C3E69" w:rsidRPr="00995F84" w:rsidRDefault="003C3E69" w:rsidP="002A356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995F84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8.-</w:t>
            </w:r>
          </w:p>
        </w:tc>
        <w:tc>
          <w:tcPr>
            <w:tcW w:w="4552" w:type="dxa"/>
          </w:tcPr>
          <w:p w:rsidR="003C3E69" w:rsidRPr="00957B4D" w:rsidRDefault="003C3E69" w:rsidP="002A35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DENUNCIAS FISCALIA ANTICORRUPCION</w:t>
            </w:r>
          </w:p>
        </w:tc>
        <w:tc>
          <w:tcPr>
            <w:tcW w:w="3407" w:type="dxa"/>
          </w:tcPr>
          <w:p w:rsidR="003C3E69" w:rsidRDefault="003C3E69" w:rsidP="002A35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</w:t>
            </w:r>
          </w:p>
        </w:tc>
      </w:tr>
      <w:tr w:rsidR="00443F72" w:rsidRPr="00957B4D" w:rsidTr="002A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hideMark/>
          </w:tcPr>
          <w:p w:rsidR="003C3E69" w:rsidRPr="00957B4D" w:rsidRDefault="003C3E69" w:rsidP="002A356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9.-</w:t>
            </w:r>
          </w:p>
        </w:tc>
        <w:tc>
          <w:tcPr>
            <w:tcW w:w="4552" w:type="dxa"/>
            <w:hideMark/>
          </w:tcPr>
          <w:p w:rsidR="003C3E69" w:rsidRPr="00957B4D" w:rsidRDefault="003C3E69" w:rsidP="002A35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EXPEDIENTES ACTIVOS OTRAS ADMINISTRACIONES</w:t>
            </w:r>
          </w:p>
        </w:tc>
        <w:tc>
          <w:tcPr>
            <w:tcW w:w="3407" w:type="dxa"/>
          </w:tcPr>
          <w:p w:rsidR="003C3E69" w:rsidRPr="002D27B5" w:rsidRDefault="002D27B5" w:rsidP="002A35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D27B5">
              <w:rPr>
                <w:rFonts w:ascii="Arial" w:eastAsia="Arial Unicode MS" w:hAnsi="Arial" w:cs="Arial"/>
                <w:b/>
                <w:sz w:val="24"/>
                <w:szCs w:val="24"/>
                <w:lang w:val="es-ES_tradnl" w:eastAsia="es-MX"/>
              </w:rPr>
              <w:t>2387</w:t>
            </w:r>
          </w:p>
        </w:tc>
      </w:tr>
    </w:tbl>
    <w:p w:rsidR="003C3E69" w:rsidRDefault="003C3E69">
      <w:pPr>
        <w:rPr>
          <w:rFonts w:ascii="Arial" w:hAnsi="Arial" w:cs="Arial"/>
          <w:sz w:val="24"/>
          <w:szCs w:val="24"/>
        </w:rPr>
      </w:pPr>
    </w:p>
    <w:p w:rsidR="003C3E69" w:rsidRDefault="003C3E69">
      <w:pPr>
        <w:rPr>
          <w:rFonts w:ascii="Arial" w:hAnsi="Arial" w:cs="Arial"/>
          <w:sz w:val="24"/>
          <w:szCs w:val="24"/>
        </w:rPr>
      </w:pPr>
    </w:p>
    <w:p w:rsidR="003C3E69" w:rsidRDefault="00EF6C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1078992" y="6516624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2D27B5">
        <w:rPr>
          <w:rFonts w:ascii="Arial" w:hAnsi="Arial" w:cs="Arial"/>
          <w:sz w:val="24"/>
          <w:szCs w:val="24"/>
        </w:rPr>
        <w:br w:type="textWrapping" w:clear="all"/>
      </w:r>
    </w:p>
    <w:p w:rsidR="003C3E69" w:rsidRDefault="003C3E69" w:rsidP="003C3E69">
      <w:pPr>
        <w:rPr>
          <w:rFonts w:ascii="Arial" w:hAnsi="Arial" w:cs="Arial"/>
          <w:sz w:val="24"/>
          <w:szCs w:val="24"/>
        </w:rPr>
      </w:pPr>
    </w:p>
    <w:p w:rsidR="00F40054" w:rsidRDefault="00F40054" w:rsidP="003C3E69">
      <w:pPr>
        <w:rPr>
          <w:rFonts w:ascii="Arial" w:hAnsi="Arial" w:cs="Arial"/>
          <w:sz w:val="24"/>
          <w:szCs w:val="24"/>
        </w:rPr>
      </w:pPr>
    </w:p>
    <w:p w:rsidR="003C3E69" w:rsidRDefault="003C3E69" w:rsidP="003C3E69">
      <w:pPr>
        <w:rPr>
          <w:rFonts w:ascii="Arial" w:hAnsi="Arial" w:cs="Arial"/>
          <w:sz w:val="24"/>
          <w:szCs w:val="24"/>
        </w:rPr>
      </w:pPr>
    </w:p>
    <w:p w:rsidR="003C3E69" w:rsidRDefault="003C3E69" w:rsidP="003C3E69">
      <w:pPr>
        <w:rPr>
          <w:rFonts w:ascii="Arial" w:hAnsi="Arial" w:cs="Arial"/>
          <w:sz w:val="24"/>
          <w:szCs w:val="24"/>
        </w:rPr>
      </w:pPr>
    </w:p>
    <w:p w:rsidR="003C3E69" w:rsidRDefault="003C3E69" w:rsidP="003C3E69">
      <w:pPr>
        <w:rPr>
          <w:rFonts w:ascii="Arial" w:hAnsi="Arial" w:cs="Arial"/>
          <w:sz w:val="24"/>
          <w:szCs w:val="24"/>
        </w:rPr>
      </w:pPr>
    </w:p>
    <w:p w:rsidR="003C3E69" w:rsidRDefault="003C3E69" w:rsidP="003C3E69">
      <w:pPr>
        <w:rPr>
          <w:rFonts w:ascii="Arial" w:hAnsi="Arial" w:cs="Arial"/>
          <w:sz w:val="24"/>
          <w:szCs w:val="24"/>
        </w:rPr>
      </w:pPr>
    </w:p>
    <w:p w:rsidR="003C3E69" w:rsidRDefault="003C3E69" w:rsidP="003C3E69">
      <w:pPr>
        <w:rPr>
          <w:rFonts w:ascii="Arial" w:hAnsi="Arial" w:cs="Arial"/>
          <w:sz w:val="24"/>
          <w:szCs w:val="24"/>
        </w:rPr>
      </w:pPr>
    </w:p>
    <w:p w:rsidR="003C3E69" w:rsidRDefault="003C3E69" w:rsidP="003C3E69">
      <w:pPr>
        <w:rPr>
          <w:rFonts w:ascii="Arial" w:hAnsi="Arial" w:cs="Arial"/>
          <w:sz w:val="24"/>
          <w:szCs w:val="24"/>
        </w:rPr>
      </w:pPr>
    </w:p>
    <w:p w:rsidR="003C3E69" w:rsidRDefault="003C3E69" w:rsidP="003C3E69">
      <w:pPr>
        <w:rPr>
          <w:rFonts w:ascii="Arial" w:hAnsi="Arial" w:cs="Arial"/>
          <w:sz w:val="24"/>
          <w:szCs w:val="24"/>
        </w:rPr>
      </w:pPr>
    </w:p>
    <w:p w:rsidR="003C3E69" w:rsidRPr="00957B4D" w:rsidRDefault="003C3E69" w:rsidP="003C3E69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57B4D">
        <w:rPr>
          <w:rFonts w:ascii="Arial" w:hAnsi="Arial" w:cs="Arial"/>
          <w:b/>
          <w:sz w:val="24"/>
          <w:szCs w:val="24"/>
          <w:lang w:val="es-ES_tradnl"/>
        </w:rPr>
        <w:t>DIRECCIÓN JURÍDICA DE OBRAS PÚBLICAS</w:t>
      </w:r>
      <w:r w:rsidRPr="00957B4D">
        <w:rPr>
          <w:rFonts w:ascii="Arial" w:hAnsi="Arial" w:cs="Arial"/>
          <w:sz w:val="24"/>
          <w:szCs w:val="24"/>
          <w:lang w:val="es-ES_tradnl"/>
        </w:rPr>
        <w:t xml:space="preserve">   </w:t>
      </w:r>
    </w:p>
    <w:tbl>
      <w:tblPr>
        <w:tblStyle w:val="Tabladecuadrcula4-nfasis2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83"/>
        <w:gridCol w:w="4521"/>
        <w:gridCol w:w="3444"/>
      </w:tblGrid>
      <w:tr w:rsidR="00443F72" w:rsidRPr="00957B4D" w:rsidTr="002A3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</w:tcPr>
          <w:p w:rsidR="003C3E69" w:rsidRPr="00957B4D" w:rsidRDefault="003C3E69" w:rsidP="002A35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sz w:val="24"/>
                <w:szCs w:val="24"/>
                <w:lang w:val="es-ES_tradnl"/>
              </w:rPr>
              <w:t>No.</w:t>
            </w:r>
          </w:p>
        </w:tc>
        <w:tc>
          <w:tcPr>
            <w:tcW w:w="4521" w:type="dxa"/>
          </w:tcPr>
          <w:p w:rsidR="003C3E69" w:rsidRPr="00957B4D" w:rsidRDefault="003C3E69" w:rsidP="002A356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sz w:val="24"/>
                <w:szCs w:val="24"/>
                <w:lang w:val="es-ES_tradnl"/>
              </w:rPr>
              <w:t>DENOMINACION</w:t>
            </w:r>
          </w:p>
        </w:tc>
        <w:tc>
          <w:tcPr>
            <w:tcW w:w="3444" w:type="dxa"/>
          </w:tcPr>
          <w:p w:rsidR="003C3E69" w:rsidRPr="00957B4D" w:rsidRDefault="003C3E69" w:rsidP="002A356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sz w:val="24"/>
                <w:szCs w:val="24"/>
                <w:lang w:val="es-ES_tradnl"/>
              </w:rPr>
              <w:t>UNIDAD DE MEDIDA</w:t>
            </w:r>
          </w:p>
        </w:tc>
      </w:tr>
      <w:tr w:rsidR="00443F72" w:rsidRPr="00957B4D" w:rsidTr="002A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</w:tcPr>
          <w:p w:rsidR="003C3E69" w:rsidRPr="00957B4D" w:rsidRDefault="003C3E69" w:rsidP="002A35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1.- </w:t>
            </w:r>
          </w:p>
        </w:tc>
        <w:tc>
          <w:tcPr>
            <w:tcW w:w="4521" w:type="dxa"/>
          </w:tcPr>
          <w:p w:rsidR="003C3E69" w:rsidRPr="00957B4D" w:rsidRDefault="003C3E69" w:rsidP="002A35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AMPAROS</w:t>
            </w:r>
          </w:p>
        </w:tc>
        <w:tc>
          <w:tcPr>
            <w:tcW w:w="3444" w:type="dxa"/>
          </w:tcPr>
          <w:p w:rsidR="003C3E69" w:rsidRPr="00957B4D" w:rsidRDefault="003C3E69" w:rsidP="002A35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06</w:t>
            </w:r>
          </w:p>
        </w:tc>
      </w:tr>
      <w:tr w:rsidR="004D07C7" w:rsidRPr="00957B4D" w:rsidTr="002A3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</w:tcPr>
          <w:p w:rsidR="003C3E69" w:rsidRPr="00957B4D" w:rsidRDefault="003C3E69" w:rsidP="002A35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sz w:val="24"/>
                <w:szCs w:val="24"/>
                <w:lang w:val="es-ES_tradnl"/>
              </w:rPr>
              <w:t>2.-</w:t>
            </w:r>
          </w:p>
        </w:tc>
        <w:tc>
          <w:tcPr>
            <w:tcW w:w="4521" w:type="dxa"/>
          </w:tcPr>
          <w:p w:rsidR="003C3E69" w:rsidRPr="00957B4D" w:rsidRDefault="003C3E69" w:rsidP="002A35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JUICIOS DE NULIDAD</w:t>
            </w:r>
          </w:p>
        </w:tc>
        <w:tc>
          <w:tcPr>
            <w:tcW w:w="3444" w:type="dxa"/>
          </w:tcPr>
          <w:p w:rsidR="003C3E69" w:rsidRPr="00957B4D" w:rsidRDefault="003C3E69" w:rsidP="002A35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</w:p>
        </w:tc>
      </w:tr>
      <w:tr w:rsidR="00443F72" w:rsidRPr="00957B4D" w:rsidTr="002A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</w:tcPr>
          <w:p w:rsidR="003C3E69" w:rsidRPr="00957B4D" w:rsidRDefault="003C3E69" w:rsidP="002A35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sz w:val="24"/>
                <w:szCs w:val="24"/>
                <w:lang w:val="es-ES_tradnl"/>
              </w:rPr>
              <w:t>3.-</w:t>
            </w:r>
          </w:p>
        </w:tc>
        <w:tc>
          <w:tcPr>
            <w:tcW w:w="4521" w:type="dxa"/>
          </w:tcPr>
          <w:p w:rsidR="003C3E69" w:rsidRPr="00957B4D" w:rsidRDefault="003C3E69" w:rsidP="002A35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RECURSOS DE REVISION</w:t>
            </w:r>
          </w:p>
        </w:tc>
        <w:tc>
          <w:tcPr>
            <w:tcW w:w="3444" w:type="dxa"/>
          </w:tcPr>
          <w:p w:rsidR="003C3E69" w:rsidRPr="00957B4D" w:rsidRDefault="003C3E69" w:rsidP="002A35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</w:t>
            </w:r>
          </w:p>
        </w:tc>
      </w:tr>
      <w:tr w:rsidR="004D07C7" w:rsidRPr="00957B4D" w:rsidTr="002A3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</w:tcPr>
          <w:p w:rsidR="003C3E69" w:rsidRPr="00957B4D" w:rsidRDefault="003C3E69" w:rsidP="002A35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sz w:val="24"/>
                <w:szCs w:val="24"/>
                <w:lang w:val="es-ES_tradnl"/>
              </w:rPr>
              <w:t>4.-</w:t>
            </w:r>
          </w:p>
        </w:tc>
        <w:tc>
          <w:tcPr>
            <w:tcW w:w="4521" w:type="dxa"/>
          </w:tcPr>
          <w:p w:rsidR="003C3E69" w:rsidRPr="00957B4D" w:rsidRDefault="003C3E69" w:rsidP="002A35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PROCEDIMIENTO DE DEMOLICION</w:t>
            </w:r>
          </w:p>
        </w:tc>
        <w:tc>
          <w:tcPr>
            <w:tcW w:w="3444" w:type="dxa"/>
          </w:tcPr>
          <w:p w:rsidR="003C3E69" w:rsidRPr="00957B4D" w:rsidRDefault="003C3E69" w:rsidP="002A35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</w:p>
        </w:tc>
      </w:tr>
      <w:tr w:rsidR="00443F72" w:rsidRPr="00957B4D" w:rsidTr="002A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</w:tcPr>
          <w:p w:rsidR="003C3E69" w:rsidRPr="00957B4D" w:rsidRDefault="003C3E69" w:rsidP="002A35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sz w:val="24"/>
                <w:szCs w:val="24"/>
                <w:lang w:val="es-ES_tradnl"/>
              </w:rPr>
              <w:t>5.-</w:t>
            </w:r>
          </w:p>
        </w:tc>
        <w:tc>
          <w:tcPr>
            <w:tcW w:w="4521" w:type="dxa"/>
          </w:tcPr>
          <w:p w:rsidR="003C3E69" w:rsidRPr="00957B4D" w:rsidRDefault="003C3E69" w:rsidP="002A35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RESPONSABILIDAD PATRIMONIAL</w:t>
            </w:r>
          </w:p>
        </w:tc>
        <w:tc>
          <w:tcPr>
            <w:tcW w:w="3444" w:type="dxa"/>
          </w:tcPr>
          <w:p w:rsidR="003C3E69" w:rsidRPr="00957B4D" w:rsidRDefault="003C3E69" w:rsidP="002A35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</w:t>
            </w:r>
          </w:p>
        </w:tc>
      </w:tr>
      <w:tr w:rsidR="004D07C7" w:rsidRPr="00957B4D" w:rsidTr="002A3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</w:tcPr>
          <w:p w:rsidR="003C3E69" w:rsidRPr="00957B4D" w:rsidRDefault="003C3E69" w:rsidP="002A35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  <w:r w:rsidRPr="00957B4D">
              <w:rPr>
                <w:rFonts w:ascii="Arial" w:hAnsi="Arial" w:cs="Arial"/>
                <w:sz w:val="24"/>
                <w:szCs w:val="24"/>
                <w:lang w:val="es-ES_tradnl"/>
              </w:rPr>
              <w:t>.-</w:t>
            </w:r>
          </w:p>
        </w:tc>
        <w:tc>
          <w:tcPr>
            <w:tcW w:w="4521" w:type="dxa"/>
          </w:tcPr>
          <w:p w:rsidR="003C3E69" w:rsidRPr="00957B4D" w:rsidRDefault="003C3E69" w:rsidP="002A35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SOLICITUDES DE CONVENIOS DE</w:t>
            </w:r>
            <w:r w:rsidR="004D07C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GESTIÓN</w:t>
            </w:r>
          </w:p>
        </w:tc>
        <w:tc>
          <w:tcPr>
            <w:tcW w:w="3444" w:type="dxa"/>
          </w:tcPr>
          <w:p w:rsidR="003C3E69" w:rsidRPr="00957B4D" w:rsidRDefault="003C3E69" w:rsidP="002A35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379</w:t>
            </w:r>
          </w:p>
        </w:tc>
      </w:tr>
      <w:tr w:rsidR="00443F72" w:rsidRPr="00957B4D" w:rsidTr="002A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</w:tcPr>
          <w:p w:rsidR="003C3E69" w:rsidRPr="00957B4D" w:rsidRDefault="003C3E69" w:rsidP="002A35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  <w:r w:rsidRPr="00957B4D">
              <w:rPr>
                <w:rFonts w:ascii="Arial" w:hAnsi="Arial" w:cs="Arial"/>
                <w:sz w:val="24"/>
                <w:szCs w:val="24"/>
                <w:lang w:val="es-ES_tradnl"/>
              </w:rPr>
              <w:t>.-</w:t>
            </w:r>
          </w:p>
        </w:tc>
        <w:tc>
          <w:tcPr>
            <w:tcW w:w="4521" w:type="dxa"/>
          </w:tcPr>
          <w:p w:rsidR="003C3E69" w:rsidRPr="00957B4D" w:rsidRDefault="003C3E69" w:rsidP="002A35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FIANZ</w:t>
            </w:r>
            <w:r w:rsidRPr="00957B4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AS</w:t>
            </w:r>
          </w:p>
        </w:tc>
        <w:tc>
          <w:tcPr>
            <w:tcW w:w="3444" w:type="dxa"/>
          </w:tcPr>
          <w:p w:rsidR="003C3E69" w:rsidRPr="00957B4D" w:rsidRDefault="003C3E69" w:rsidP="002A35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</w:p>
        </w:tc>
      </w:tr>
      <w:tr w:rsidR="004D07C7" w:rsidRPr="00957B4D" w:rsidTr="002A3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</w:tcPr>
          <w:p w:rsidR="003C3E69" w:rsidRPr="00957B4D" w:rsidRDefault="003C3E69" w:rsidP="002A35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8.-</w:t>
            </w:r>
          </w:p>
        </w:tc>
        <w:tc>
          <w:tcPr>
            <w:tcW w:w="4521" w:type="dxa"/>
          </w:tcPr>
          <w:p w:rsidR="003C3E69" w:rsidRPr="00957B4D" w:rsidRDefault="003C3E69" w:rsidP="002A35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ADMINISTRATIVOS</w:t>
            </w:r>
          </w:p>
        </w:tc>
        <w:tc>
          <w:tcPr>
            <w:tcW w:w="3444" w:type="dxa"/>
          </w:tcPr>
          <w:p w:rsidR="003C3E69" w:rsidRPr="00957B4D" w:rsidRDefault="003C3E69" w:rsidP="002A35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88</w:t>
            </w:r>
          </w:p>
        </w:tc>
      </w:tr>
      <w:tr w:rsidR="00443F72" w:rsidRPr="00957B4D" w:rsidTr="002A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</w:tcPr>
          <w:p w:rsidR="003C3E69" w:rsidRPr="00957B4D" w:rsidRDefault="003C3E69" w:rsidP="002A35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9.-</w:t>
            </w:r>
          </w:p>
        </w:tc>
        <w:tc>
          <w:tcPr>
            <w:tcW w:w="4521" w:type="dxa"/>
          </w:tcPr>
          <w:p w:rsidR="003C3E69" w:rsidRPr="00957B4D" w:rsidRDefault="003C3E69" w:rsidP="002A35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PROCEDIMIENTO SANCIONATORIO</w:t>
            </w:r>
          </w:p>
        </w:tc>
        <w:tc>
          <w:tcPr>
            <w:tcW w:w="3444" w:type="dxa"/>
          </w:tcPr>
          <w:p w:rsidR="003C3E69" w:rsidRPr="00957B4D" w:rsidRDefault="003C3E69" w:rsidP="002A35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</w:p>
        </w:tc>
      </w:tr>
    </w:tbl>
    <w:p w:rsidR="003C3E69" w:rsidRDefault="003C3E69" w:rsidP="003C3E69">
      <w:pPr>
        <w:rPr>
          <w:rFonts w:ascii="Arial" w:hAnsi="Arial" w:cs="Arial"/>
          <w:sz w:val="24"/>
          <w:szCs w:val="24"/>
        </w:rPr>
      </w:pPr>
    </w:p>
    <w:p w:rsidR="003C3E69" w:rsidRDefault="003C3E69" w:rsidP="003C3E69">
      <w:pPr>
        <w:rPr>
          <w:rFonts w:ascii="Arial" w:hAnsi="Arial" w:cs="Arial"/>
          <w:sz w:val="24"/>
          <w:szCs w:val="24"/>
        </w:rPr>
      </w:pPr>
    </w:p>
    <w:p w:rsidR="003C3E69" w:rsidRPr="003C3E69" w:rsidRDefault="003C3E69" w:rsidP="003C3E69">
      <w:pPr>
        <w:rPr>
          <w:rFonts w:ascii="Arial" w:hAnsi="Arial" w:cs="Arial"/>
          <w:sz w:val="24"/>
          <w:szCs w:val="24"/>
        </w:rPr>
      </w:pPr>
    </w:p>
    <w:p w:rsidR="00B0211E" w:rsidRDefault="007336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486400" cy="3133725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211E" w:rsidRDefault="00B0211E">
      <w:pPr>
        <w:rPr>
          <w:rFonts w:ascii="Arial" w:hAnsi="Arial" w:cs="Arial"/>
          <w:noProof/>
          <w:sz w:val="24"/>
          <w:szCs w:val="24"/>
          <w:lang w:eastAsia="es-MX"/>
        </w:rPr>
      </w:pPr>
    </w:p>
    <w:p w:rsidR="007D7230" w:rsidRDefault="007D7230">
      <w:pPr>
        <w:rPr>
          <w:rFonts w:ascii="Arial" w:hAnsi="Arial" w:cs="Arial"/>
          <w:noProof/>
          <w:sz w:val="24"/>
          <w:szCs w:val="24"/>
          <w:lang w:eastAsia="es-MX"/>
        </w:rPr>
      </w:pPr>
    </w:p>
    <w:p w:rsidR="007D7230" w:rsidRDefault="007D7230">
      <w:pPr>
        <w:rPr>
          <w:rFonts w:ascii="Arial" w:hAnsi="Arial" w:cs="Arial"/>
          <w:noProof/>
          <w:sz w:val="24"/>
          <w:szCs w:val="24"/>
          <w:lang w:eastAsia="es-MX"/>
        </w:rPr>
      </w:pPr>
    </w:p>
    <w:p w:rsidR="007D7230" w:rsidRDefault="007D7230">
      <w:pPr>
        <w:rPr>
          <w:rFonts w:ascii="Arial" w:hAnsi="Arial" w:cs="Arial"/>
          <w:noProof/>
          <w:sz w:val="24"/>
          <w:szCs w:val="24"/>
          <w:lang w:eastAsia="es-MX"/>
        </w:rPr>
      </w:pPr>
    </w:p>
    <w:p w:rsidR="007D7230" w:rsidRDefault="007D7230">
      <w:pPr>
        <w:rPr>
          <w:rFonts w:ascii="Arial" w:hAnsi="Arial" w:cs="Arial"/>
          <w:noProof/>
          <w:sz w:val="24"/>
          <w:szCs w:val="24"/>
          <w:lang w:eastAsia="es-MX"/>
        </w:rPr>
      </w:pPr>
    </w:p>
    <w:p w:rsidR="007D7230" w:rsidRDefault="007D7230">
      <w:pPr>
        <w:rPr>
          <w:rFonts w:ascii="Arial" w:hAnsi="Arial" w:cs="Arial"/>
          <w:noProof/>
          <w:sz w:val="24"/>
          <w:szCs w:val="24"/>
          <w:lang w:eastAsia="es-MX"/>
        </w:rPr>
      </w:pPr>
    </w:p>
    <w:p w:rsidR="007D7230" w:rsidRDefault="007D7230">
      <w:pPr>
        <w:rPr>
          <w:rFonts w:ascii="Arial" w:hAnsi="Arial" w:cs="Arial"/>
          <w:noProof/>
          <w:sz w:val="24"/>
          <w:szCs w:val="24"/>
          <w:lang w:eastAsia="es-MX"/>
        </w:rPr>
      </w:pPr>
    </w:p>
    <w:p w:rsidR="007D7230" w:rsidRDefault="007D7230">
      <w:pPr>
        <w:rPr>
          <w:rFonts w:ascii="Arial" w:hAnsi="Arial" w:cs="Arial"/>
          <w:noProof/>
          <w:sz w:val="24"/>
          <w:szCs w:val="24"/>
          <w:lang w:eastAsia="es-MX"/>
        </w:rPr>
      </w:pPr>
    </w:p>
    <w:p w:rsidR="003C3E69" w:rsidRDefault="003C3E69">
      <w:pPr>
        <w:rPr>
          <w:rFonts w:ascii="Arial" w:hAnsi="Arial" w:cs="Arial"/>
          <w:noProof/>
          <w:sz w:val="24"/>
          <w:szCs w:val="24"/>
          <w:lang w:eastAsia="es-MX"/>
        </w:rPr>
      </w:pPr>
    </w:p>
    <w:p w:rsidR="003C3E69" w:rsidRPr="00957B4D" w:rsidRDefault="003C3E69" w:rsidP="003C3E6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957B4D">
        <w:rPr>
          <w:rFonts w:ascii="Arial" w:hAnsi="Arial" w:cs="Arial"/>
          <w:b/>
          <w:sz w:val="24"/>
          <w:szCs w:val="24"/>
          <w:lang w:val="es-ES_tradnl"/>
        </w:rPr>
        <w:t>JEFATURA DE SINIESTROS</w:t>
      </w:r>
    </w:p>
    <w:tbl>
      <w:tblPr>
        <w:tblStyle w:val="Tabladecuadrcula4-nfasis2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77"/>
        <w:gridCol w:w="4420"/>
        <w:gridCol w:w="3551"/>
      </w:tblGrid>
      <w:tr w:rsidR="003C3E69" w:rsidRPr="00957B4D" w:rsidTr="002A3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C3E69" w:rsidRPr="00957B4D" w:rsidRDefault="003C3E69" w:rsidP="002A356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No.</w:t>
            </w:r>
          </w:p>
        </w:tc>
        <w:tc>
          <w:tcPr>
            <w:tcW w:w="6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C3E69" w:rsidRPr="00957B4D" w:rsidRDefault="003C3E69" w:rsidP="002A356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DENOMINACION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C3E69" w:rsidRPr="00957B4D" w:rsidRDefault="003C3E69" w:rsidP="002A356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UNIDAD DE MEDIDA</w:t>
            </w:r>
          </w:p>
        </w:tc>
      </w:tr>
      <w:tr w:rsidR="003C3E69" w:rsidRPr="00957B4D" w:rsidTr="002A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3C3E69" w:rsidRPr="00957B4D" w:rsidRDefault="003C3E69" w:rsidP="002A356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 xml:space="preserve">1.- </w:t>
            </w:r>
          </w:p>
        </w:tc>
        <w:tc>
          <w:tcPr>
            <w:tcW w:w="6945" w:type="dxa"/>
            <w:hideMark/>
          </w:tcPr>
          <w:p w:rsidR="003C3E69" w:rsidRPr="00957B4D" w:rsidRDefault="003C3E69" w:rsidP="002A35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SINIESTROS ATENDIDOS</w:t>
            </w:r>
          </w:p>
        </w:tc>
        <w:tc>
          <w:tcPr>
            <w:tcW w:w="6237" w:type="dxa"/>
          </w:tcPr>
          <w:p w:rsidR="003C3E69" w:rsidRPr="00957B4D" w:rsidRDefault="003C3E69" w:rsidP="002A35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98</w:t>
            </w:r>
          </w:p>
        </w:tc>
      </w:tr>
      <w:tr w:rsidR="003C3E69" w:rsidRPr="00957B4D" w:rsidTr="002A3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3C3E69" w:rsidRPr="00957B4D" w:rsidRDefault="003C3E69" w:rsidP="002A356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2.-</w:t>
            </w:r>
          </w:p>
        </w:tc>
        <w:tc>
          <w:tcPr>
            <w:tcW w:w="6945" w:type="dxa"/>
            <w:hideMark/>
          </w:tcPr>
          <w:p w:rsidR="003C3E69" w:rsidRPr="00957B4D" w:rsidRDefault="003C3E69" w:rsidP="002A35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REPORTE DE ROBO</w:t>
            </w:r>
          </w:p>
        </w:tc>
        <w:tc>
          <w:tcPr>
            <w:tcW w:w="6237" w:type="dxa"/>
          </w:tcPr>
          <w:p w:rsidR="003C3E69" w:rsidRPr="00957B4D" w:rsidRDefault="003C3E69" w:rsidP="002A35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01</w:t>
            </w:r>
          </w:p>
        </w:tc>
      </w:tr>
      <w:tr w:rsidR="003C3E69" w:rsidRPr="00957B4D" w:rsidTr="002A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3C3E69" w:rsidRPr="00957B4D" w:rsidRDefault="003C3E69" w:rsidP="002A356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3.-</w:t>
            </w:r>
          </w:p>
        </w:tc>
        <w:tc>
          <w:tcPr>
            <w:tcW w:w="6945" w:type="dxa"/>
            <w:hideMark/>
          </w:tcPr>
          <w:p w:rsidR="003C3E69" w:rsidRPr="00957B4D" w:rsidRDefault="003C3E69" w:rsidP="002A35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RECUPERACIÓN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DE VEHICULOS</w:t>
            </w:r>
          </w:p>
        </w:tc>
        <w:tc>
          <w:tcPr>
            <w:tcW w:w="6237" w:type="dxa"/>
          </w:tcPr>
          <w:p w:rsidR="003C3E69" w:rsidRPr="00957B4D" w:rsidRDefault="003C3E69" w:rsidP="002A35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57B4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04</w:t>
            </w:r>
          </w:p>
        </w:tc>
      </w:tr>
    </w:tbl>
    <w:p w:rsidR="007D7230" w:rsidRDefault="007D7230">
      <w:pPr>
        <w:rPr>
          <w:rFonts w:ascii="Arial" w:hAnsi="Arial" w:cs="Arial"/>
          <w:noProof/>
          <w:sz w:val="24"/>
          <w:szCs w:val="24"/>
          <w:lang w:eastAsia="es-MX"/>
        </w:rPr>
      </w:pPr>
    </w:p>
    <w:p w:rsidR="007D7230" w:rsidRDefault="007D7230">
      <w:pPr>
        <w:rPr>
          <w:rFonts w:ascii="Arial" w:hAnsi="Arial" w:cs="Arial"/>
          <w:noProof/>
          <w:sz w:val="24"/>
          <w:szCs w:val="24"/>
          <w:lang w:eastAsia="es-MX"/>
        </w:rPr>
      </w:pPr>
    </w:p>
    <w:p w:rsidR="007D7230" w:rsidRDefault="007D72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27BA0" w:rsidRDefault="00127BA0">
      <w:pPr>
        <w:rPr>
          <w:rFonts w:ascii="Arial" w:hAnsi="Arial" w:cs="Arial"/>
          <w:sz w:val="24"/>
          <w:szCs w:val="24"/>
        </w:rPr>
      </w:pPr>
    </w:p>
    <w:p w:rsidR="00127BA0" w:rsidRDefault="00127BA0">
      <w:pPr>
        <w:rPr>
          <w:rFonts w:ascii="Arial" w:hAnsi="Arial" w:cs="Arial"/>
          <w:sz w:val="24"/>
          <w:szCs w:val="24"/>
        </w:rPr>
      </w:pPr>
    </w:p>
    <w:p w:rsidR="00127BA0" w:rsidRPr="00957B4D" w:rsidRDefault="00127B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1076325" y="537210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4253C4">
        <w:rPr>
          <w:rFonts w:ascii="Arial" w:hAnsi="Arial" w:cs="Arial"/>
          <w:sz w:val="24"/>
          <w:szCs w:val="24"/>
        </w:rPr>
        <w:br w:type="textWrapping" w:clear="all"/>
      </w:r>
    </w:p>
    <w:sectPr w:rsidR="00127BA0" w:rsidRPr="00957B4D" w:rsidSect="005B1A53">
      <w:headerReference w:type="default" r:id="rId12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D5C" w:rsidRDefault="00263D5C" w:rsidP="009A3560">
      <w:pPr>
        <w:spacing w:after="0" w:line="240" w:lineRule="auto"/>
      </w:pPr>
      <w:r>
        <w:separator/>
      </w:r>
    </w:p>
  </w:endnote>
  <w:endnote w:type="continuationSeparator" w:id="0">
    <w:p w:rsidR="00263D5C" w:rsidRDefault="00263D5C" w:rsidP="009A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FOTT+ArialMT">
    <w:altName w:val="Arial Unicode MS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D5C" w:rsidRDefault="00263D5C" w:rsidP="009A3560">
      <w:pPr>
        <w:spacing w:after="0" w:line="240" w:lineRule="auto"/>
      </w:pPr>
      <w:r>
        <w:separator/>
      </w:r>
    </w:p>
  </w:footnote>
  <w:footnote w:type="continuationSeparator" w:id="0">
    <w:p w:rsidR="00263D5C" w:rsidRDefault="00263D5C" w:rsidP="009A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60" w:rsidRDefault="009A3560">
    <w:pPr>
      <w:pStyle w:val="Encabezado"/>
    </w:pPr>
    <w:r w:rsidRPr="000D641C">
      <w:rPr>
        <w:rFonts w:ascii="Arial" w:eastAsia="Times New Roman" w:hAnsi="Arial" w:cs="Arial"/>
        <w:b/>
        <w:bCs/>
        <w:noProof/>
        <w:sz w:val="20"/>
        <w:szCs w:val="20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-354076</wp:posOffset>
          </wp:positionV>
          <wp:extent cx="781050" cy="979805"/>
          <wp:effectExtent l="0" t="0" r="0" b="0"/>
          <wp:wrapThrough wrapText="bothSides">
            <wp:wrapPolygon edited="0">
              <wp:start x="0" y="0"/>
              <wp:lineTo x="0" y="20998"/>
              <wp:lineTo x="21073" y="20998"/>
              <wp:lineTo x="2107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73DEB"/>
    <w:multiLevelType w:val="hybridMultilevel"/>
    <w:tmpl w:val="1E981B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F7EFB"/>
    <w:multiLevelType w:val="hybridMultilevel"/>
    <w:tmpl w:val="6172A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F1707"/>
    <w:multiLevelType w:val="hybridMultilevel"/>
    <w:tmpl w:val="1368E0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A6"/>
    <w:rsid w:val="00010BC6"/>
    <w:rsid w:val="000C56EA"/>
    <w:rsid w:val="000D34C4"/>
    <w:rsid w:val="000D57C9"/>
    <w:rsid w:val="000E2A57"/>
    <w:rsid w:val="000F5B78"/>
    <w:rsid w:val="00127BA0"/>
    <w:rsid w:val="001611A1"/>
    <w:rsid w:val="00175C48"/>
    <w:rsid w:val="00177C80"/>
    <w:rsid w:val="001A2437"/>
    <w:rsid w:val="001C1E6C"/>
    <w:rsid w:val="001C4CE8"/>
    <w:rsid w:val="001C5630"/>
    <w:rsid w:val="001C71EA"/>
    <w:rsid w:val="001C7AD1"/>
    <w:rsid w:val="001E57EB"/>
    <w:rsid w:val="00206388"/>
    <w:rsid w:val="00222B15"/>
    <w:rsid w:val="002430A2"/>
    <w:rsid w:val="0025738B"/>
    <w:rsid w:val="00263D5C"/>
    <w:rsid w:val="002733FF"/>
    <w:rsid w:val="002B2431"/>
    <w:rsid w:val="002B26FF"/>
    <w:rsid w:val="002B752C"/>
    <w:rsid w:val="002D27B5"/>
    <w:rsid w:val="002E1913"/>
    <w:rsid w:val="00310E3C"/>
    <w:rsid w:val="00311F55"/>
    <w:rsid w:val="003805BF"/>
    <w:rsid w:val="00391B73"/>
    <w:rsid w:val="003A4322"/>
    <w:rsid w:val="003C3E69"/>
    <w:rsid w:val="003D30EF"/>
    <w:rsid w:val="003E771F"/>
    <w:rsid w:val="003F0512"/>
    <w:rsid w:val="004253C4"/>
    <w:rsid w:val="00443EC6"/>
    <w:rsid w:val="00443F72"/>
    <w:rsid w:val="00445FC9"/>
    <w:rsid w:val="00447A20"/>
    <w:rsid w:val="00460E5F"/>
    <w:rsid w:val="00464817"/>
    <w:rsid w:val="004C69F0"/>
    <w:rsid w:val="004D07C7"/>
    <w:rsid w:val="004D7ECD"/>
    <w:rsid w:val="00514912"/>
    <w:rsid w:val="00516240"/>
    <w:rsid w:val="00516EA0"/>
    <w:rsid w:val="00530047"/>
    <w:rsid w:val="00530207"/>
    <w:rsid w:val="005949E4"/>
    <w:rsid w:val="005B1A53"/>
    <w:rsid w:val="005D5954"/>
    <w:rsid w:val="005E5DCB"/>
    <w:rsid w:val="005F5C26"/>
    <w:rsid w:val="00616385"/>
    <w:rsid w:val="006A66CF"/>
    <w:rsid w:val="0072074C"/>
    <w:rsid w:val="00731EB6"/>
    <w:rsid w:val="0073369F"/>
    <w:rsid w:val="00745CA5"/>
    <w:rsid w:val="00765C3A"/>
    <w:rsid w:val="007707FF"/>
    <w:rsid w:val="007B630A"/>
    <w:rsid w:val="007C387B"/>
    <w:rsid w:val="007D7230"/>
    <w:rsid w:val="00805CA4"/>
    <w:rsid w:val="008305AA"/>
    <w:rsid w:val="008669A6"/>
    <w:rsid w:val="008C00FD"/>
    <w:rsid w:val="00906673"/>
    <w:rsid w:val="00957B4D"/>
    <w:rsid w:val="009675FA"/>
    <w:rsid w:val="00995F84"/>
    <w:rsid w:val="009A3560"/>
    <w:rsid w:val="009A7723"/>
    <w:rsid w:val="009D0BF4"/>
    <w:rsid w:val="00A328E0"/>
    <w:rsid w:val="00A37A6D"/>
    <w:rsid w:val="00A4010B"/>
    <w:rsid w:val="00AC6FCE"/>
    <w:rsid w:val="00AD55FE"/>
    <w:rsid w:val="00B0211E"/>
    <w:rsid w:val="00B10231"/>
    <w:rsid w:val="00B11CC0"/>
    <w:rsid w:val="00BA136D"/>
    <w:rsid w:val="00BB146F"/>
    <w:rsid w:val="00BB7CFA"/>
    <w:rsid w:val="00BE2B30"/>
    <w:rsid w:val="00BE47C7"/>
    <w:rsid w:val="00C12846"/>
    <w:rsid w:val="00C219AC"/>
    <w:rsid w:val="00C2208C"/>
    <w:rsid w:val="00C22751"/>
    <w:rsid w:val="00C2600D"/>
    <w:rsid w:val="00C80E55"/>
    <w:rsid w:val="00CA4B65"/>
    <w:rsid w:val="00CD433C"/>
    <w:rsid w:val="00CE10ED"/>
    <w:rsid w:val="00CF0808"/>
    <w:rsid w:val="00CF14AE"/>
    <w:rsid w:val="00D05305"/>
    <w:rsid w:val="00D63385"/>
    <w:rsid w:val="00D85D89"/>
    <w:rsid w:val="00DC5BFD"/>
    <w:rsid w:val="00E84BFD"/>
    <w:rsid w:val="00EA2653"/>
    <w:rsid w:val="00EA2E77"/>
    <w:rsid w:val="00EF0622"/>
    <w:rsid w:val="00EF6CC2"/>
    <w:rsid w:val="00F005E2"/>
    <w:rsid w:val="00F40054"/>
    <w:rsid w:val="00F47906"/>
    <w:rsid w:val="00F722CB"/>
    <w:rsid w:val="00FC5115"/>
    <w:rsid w:val="00FD6C59"/>
    <w:rsid w:val="00FE5420"/>
    <w:rsid w:val="00FE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76527-CAE9-4A23-B8AC-F59AC825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9A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8669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669A6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Default">
    <w:name w:val="Default"/>
    <w:rsid w:val="008669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decuadrcula4-nfasis21">
    <w:name w:val="Tabla de cuadrícula 4 - Énfasis 21"/>
    <w:basedOn w:val="Tablanormal"/>
    <w:uiPriority w:val="49"/>
    <w:rsid w:val="008669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Textoennegrita">
    <w:name w:val="Strong"/>
    <w:basedOn w:val="Fuentedeprrafopredeter"/>
    <w:uiPriority w:val="22"/>
    <w:qFormat/>
    <w:rsid w:val="008669A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A3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560"/>
  </w:style>
  <w:style w:type="paragraph" w:styleId="Piedepgina">
    <w:name w:val="footer"/>
    <w:basedOn w:val="Normal"/>
    <w:link w:val="PiedepginaCar"/>
    <w:uiPriority w:val="99"/>
    <w:unhideWhenUsed/>
    <w:rsid w:val="009A3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560"/>
  </w:style>
  <w:style w:type="paragraph" w:styleId="Prrafodelista">
    <w:name w:val="List Paragraph"/>
    <w:basedOn w:val="Normal"/>
    <w:link w:val="PrrafodelistaCar"/>
    <w:uiPriority w:val="34"/>
    <w:qFormat/>
    <w:rsid w:val="008C00FD"/>
    <w:pPr>
      <w:ind w:left="720"/>
      <w:contextualSpacing/>
    </w:pPr>
  </w:style>
  <w:style w:type="table" w:customStyle="1" w:styleId="Tabladecuadrcula4-nfasis22">
    <w:name w:val="Tabla de cuadrícula 4 - Énfasis 22"/>
    <w:basedOn w:val="Tablanormal"/>
    <w:uiPriority w:val="49"/>
    <w:rsid w:val="008C00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D6C59"/>
  </w:style>
  <w:style w:type="paragraph" w:styleId="Textodeglobo">
    <w:name w:val="Balloon Text"/>
    <w:basedOn w:val="Normal"/>
    <w:link w:val="TextodegloboCar"/>
    <w:uiPriority w:val="99"/>
    <w:semiHidden/>
    <w:unhideWhenUsed/>
    <w:rsid w:val="002B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MX"/>
              <a:t>Jefatura</a:t>
            </a:r>
            <a:r>
              <a:rPr lang="es-MX" baseline="0"/>
              <a:t> Contencioso Administrativo</a:t>
            </a:r>
            <a:endParaRPr lang="es-MX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Gestion interna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Hoja1!$A$2:$A$5</c:f>
              <c:strCache>
                <c:ptCount val="1"/>
                <c:pt idx="0">
                  <c:v>CONTENCIOSO ADMINISTRATIVO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Quejas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Hoja1!$A$2:$A$5</c:f>
              <c:strCache>
                <c:ptCount val="1"/>
                <c:pt idx="0">
                  <c:v>CONTENCIOSO ADMINISTRATIVO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24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Civiles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Hoja1!$A$2:$A$5</c:f>
              <c:strCache>
                <c:ptCount val="1"/>
                <c:pt idx="0">
                  <c:v>CONTENCIOSO ADMINISTRATIVO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31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Amparos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Hoja1!$A$2:$A$5</c:f>
              <c:strCache>
                <c:ptCount val="1"/>
                <c:pt idx="0">
                  <c:v>CONTENCIOSO ADMINISTRATIVO </c:v>
                </c:pt>
              </c:strCache>
            </c:strRef>
          </c:cat>
          <c:val>
            <c:numRef>
              <c:f>Hoja1!$E$2:$E$5</c:f>
              <c:numCache>
                <c:formatCode>General</c:formatCode>
                <c:ptCount val="4"/>
                <c:pt idx="0">
                  <c:v>83</c:v>
                </c:pt>
              </c:numCache>
            </c:numRef>
          </c:val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Mercantiles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Hoja1!$A$2:$A$5</c:f>
              <c:strCache>
                <c:ptCount val="1"/>
                <c:pt idx="0">
                  <c:v>CONTENCIOSO ADMINISTRATIVO </c:v>
                </c:pt>
              </c:strCache>
            </c:strRef>
          </c:cat>
          <c:val>
            <c:numRef>
              <c:f>Hoja1!$F$2:$F$5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5"/>
          <c:order val="5"/>
          <c:tx>
            <c:strRef>
              <c:f>Hoja1!$G$1</c:f>
              <c:strCache>
                <c:ptCount val="1"/>
                <c:pt idx="0">
                  <c:v>Juicios de Nulidad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Hoja1!$A$2:$A$5</c:f>
              <c:strCache>
                <c:ptCount val="1"/>
                <c:pt idx="0">
                  <c:v>CONTENCIOSO ADMINISTRATIVO </c:v>
                </c:pt>
              </c:strCache>
            </c:strRef>
          </c:cat>
          <c:val>
            <c:numRef>
              <c:f>Hoja1!$G$2:$G$5</c:f>
              <c:numCache>
                <c:formatCode>General</c:formatCode>
                <c:ptCount val="4"/>
                <c:pt idx="0">
                  <c:v>41</c:v>
                </c:pt>
              </c:numCache>
            </c:numRef>
          </c:val>
        </c:ser>
        <c:ser>
          <c:idx val="6"/>
          <c:order val="6"/>
          <c:tx>
            <c:strRef>
              <c:f>Hoja1!$H$1</c:f>
              <c:strCache>
                <c:ptCount val="1"/>
                <c:pt idx="0">
                  <c:v>Denuncias Penal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Hoja1!$A$2:$A$5</c:f>
              <c:strCache>
                <c:ptCount val="1"/>
                <c:pt idx="0">
                  <c:v>CONTENCIOSO ADMINISTRATIVO </c:v>
                </c:pt>
              </c:strCache>
            </c:strRef>
          </c:cat>
          <c:val>
            <c:numRef>
              <c:f>Hoja1!$H$2:$H$5</c:f>
              <c:numCache>
                <c:formatCode>General</c:formatCode>
                <c:ptCount val="4"/>
                <c:pt idx="0">
                  <c:v>36</c:v>
                </c:pt>
              </c:numCache>
            </c:numRef>
          </c:val>
        </c:ser>
        <c:ser>
          <c:idx val="7"/>
          <c:order val="7"/>
          <c:tx>
            <c:strRef>
              <c:f>Hoja1!$I$1</c:f>
              <c:strCache>
                <c:ptCount val="1"/>
                <c:pt idx="0">
                  <c:v>Carpetas de Investigación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Hoja1!$A$2:$A$5</c:f>
              <c:strCache>
                <c:ptCount val="1"/>
                <c:pt idx="0">
                  <c:v>CONTENCIOSO ADMINISTRATIVO </c:v>
                </c:pt>
              </c:strCache>
            </c:strRef>
          </c:cat>
          <c:val>
            <c:numRef>
              <c:f>Hoja1!$I$2:$I$5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8"/>
          <c:order val="8"/>
          <c:tx>
            <c:strRef>
              <c:f>Hoja1!$J$1</c:f>
              <c:strCache>
                <c:ptCount val="1"/>
                <c:pt idx="0">
                  <c:v>Denuncias Fiscalia Anti corrupción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Hoja1!$A$2:$A$5</c:f>
              <c:strCache>
                <c:ptCount val="1"/>
                <c:pt idx="0">
                  <c:v>CONTENCIOSO ADMINISTRATIVO </c:v>
                </c:pt>
              </c:strCache>
            </c:strRef>
          </c:cat>
          <c:val>
            <c:numRef>
              <c:f>Hoja1!$J$2:$J$5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9"/>
          <c:order val="9"/>
          <c:tx>
            <c:strRef>
              <c:f>Hoja1!$K$1</c:f>
              <c:strCache>
                <c:ptCount val="1"/>
                <c:pt idx="0">
                  <c:v>Columna1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Hoja1!$A$2:$A$5</c:f>
              <c:strCache>
                <c:ptCount val="1"/>
                <c:pt idx="0">
                  <c:v>CONTENCIOSO ADMINISTRATIVO </c:v>
                </c:pt>
              </c:strCache>
            </c:strRef>
          </c:cat>
          <c:val>
            <c:numRef>
              <c:f>Hoja1!$K$2:$K$5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-1903913392"/>
        <c:axId val="-1903904688"/>
      </c:barChart>
      <c:catAx>
        <c:axId val="-1903913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903904688"/>
        <c:crosses val="autoZero"/>
        <c:auto val="1"/>
        <c:lblAlgn val="ctr"/>
        <c:lblOffset val="100"/>
        <c:noMultiLvlLbl val="0"/>
      </c:catAx>
      <c:valAx>
        <c:axId val="-1903904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903913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MX"/>
              <a:t>Dirección Jurídica de Obras Públicas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Dirección Jurídica de Obras Públicas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cat>
            <c:strRef>
              <c:f>Hoja1!$A$2:$A$10</c:f>
              <c:strCache>
                <c:ptCount val="9"/>
                <c:pt idx="0">
                  <c:v>Amparos</c:v>
                </c:pt>
                <c:pt idx="1">
                  <c:v>Juicios de Nulidad</c:v>
                </c:pt>
                <c:pt idx="2">
                  <c:v>Recursos de Revisión</c:v>
                </c:pt>
                <c:pt idx="3">
                  <c:v>Procedimientos de Demolición</c:v>
                </c:pt>
                <c:pt idx="4">
                  <c:v>Responsabilidad Patrimonial</c:v>
                </c:pt>
                <c:pt idx="5">
                  <c:v>Convenios de Tolerancia</c:v>
                </c:pt>
                <c:pt idx="6">
                  <c:v>Fianzas</c:v>
                </c:pt>
                <c:pt idx="7">
                  <c:v>Administrativos</c:v>
                </c:pt>
                <c:pt idx="8">
                  <c:v>Procedimientos Sancionatorios</c:v>
                </c:pt>
              </c:strCache>
            </c:strRef>
          </c:cat>
          <c:val>
            <c:numRef>
              <c:f>Hoja1!$B$2:$B$10</c:f>
              <c:numCache>
                <c:formatCode>General</c:formatCode>
                <c:ptCount val="9"/>
                <c:pt idx="0">
                  <c:v>6</c:v>
                </c:pt>
                <c:pt idx="1">
                  <c:v>4</c:v>
                </c:pt>
                <c:pt idx="2">
                  <c:v>6</c:v>
                </c:pt>
                <c:pt idx="3">
                  <c:v>2</c:v>
                </c:pt>
                <c:pt idx="4">
                  <c:v>8</c:v>
                </c:pt>
                <c:pt idx="5">
                  <c:v>379</c:v>
                </c:pt>
                <c:pt idx="6">
                  <c:v>2</c:v>
                </c:pt>
                <c:pt idx="7">
                  <c:v>88</c:v>
                </c:pt>
                <c:pt idx="8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MX"/>
              <a:t>Jefatura de Siniestros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Hoja1!$A$2:$A$4</c:f>
              <c:strCache>
                <c:ptCount val="3"/>
                <c:pt idx="0">
                  <c:v>Siniestros Atendidos</c:v>
                </c:pt>
                <c:pt idx="1">
                  <c:v>Reporte de Robo</c:v>
                </c:pt>
                <c:pt idx="2">
                  <c:v>Recuperación de Vehículos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98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-1903908496"/>
        <c:axId val="-1855125360"/>
      </c:barChart>
      <c:catAx>
        <c:axId val="-1903908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855125360"/>
        <c:crosses val="autoZero"/>
        <c:auto val="1"/>
        <c:lblAlgn val="ctr"/>
        <c:lblOffset val="100"/>
        <c:noMultiLvlLbl val="0"/>
      </c:catAx>
      <c:valAx>
        <c:axId val="-18551253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903908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MX"/>
              <a:t>POAS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Hoja1!$A$2:$A$5</c:f>
              <c:strCache>
                <c:ptCount val="3"/>
                <c:pt idx="0">
                  <c:v>Asesorias</c:v>
                </c:pt>
                <c:pt idx="1">
                  <c:v>Convenios de Gestion</c:v>
                </c:pt>
                <c:pt idx="2">
                  <c:v>Obligaciones de los Choferes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158</c:v>
                </c:pt>
                <c:pt idx="1">
                  <c:v>379</c:v>
                </c:pt>
                <c:pt idx="2">
                  <c:v>138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855127536"/>
        <c:axId val="-1855130800"/>
      </c:lineChart>
      <c:catAx>
        <c:axId val="-185512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855130800"/>
        <c:crosses val="autoZero"/>
        <c:auto val="1"/>
        <c:lblAlgn val="ctr"/>
        <c:lblOffset val="100"/>
        <c:noMultiLvlLbl val="0"/>
      </c:catAx>
      <c:valAx>
        <c:axId val="-1855130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855127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DB16D-96DB-4FF8-B3D2-B3E06E5A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789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Gonzalez Romero</dc:creator>
  <cp:lastModifiedBy>Rita Gonzalez Romero</cp:lastModifiedBy>
  <cp:revision>6</cp:revision>
  <cp:lastPrinted>2019-07-02T16:56:00Z</cp:lastPrinted>
  <dcterms:created xsi:type="dcterms:W3CDTF">2019-07-11T17:07:00Z</dcterms:created>
  <dcterms:modified xsi:type="dcterms:W3CDTF">2019-07-17T18:57:00Z</dcterms:modified>
</cp:coreProperties>
</file>