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99" w:rsidRDefault="006C3999" w:rsidP="006C3999">
      <w:pPr>
        <w:tabs>
          <w:tab w:val="left" w:pos="23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3999" w:rsidRPr="003C577E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>OFICIO  DGJ/053</w:t>
      </w:r>
      <w:r w:rsidRPr="003C577E">
        <w:rPr>
          <w:rFonts w:ascii="Arial" w:hAnsi="Arial" w:cs="Arial"/>
          <w:b/>
          <w:sz w:val="24"/>
          <w:szCs w:val="24"/>
        </w:rPr>
        <w:t>/2017</w:t>
      </w:r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MTRO FERNANDO ANTONIO CHÁVEZ DELGADILLO</w:t>
      </w:r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GENERAL DE POLÍTICA PÚBLICAS </w:t>
      </w:r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>
        <w:rPr>
          <w:rFonts w:ascii="Arial" w:hAnsi="Arial" w:cs="Arial"/>
          <w:b/>
          <w:sz w:val="24"/>
          <w:szCs w:val="24"/>
        </w:rPr>
        <w:t>E .</w:t>
      </w:r>
      <w:proofErr w:type="gramEnd"/>
    </w:p>
    <w:p w:rsidR="006C3999" w:rsidRDefault="006C3999" w:rsidP="006C3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line="36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En relación a su oficio 213/2017 de fecha 16 de Marzo del año en curso, me permito informar a usted los resultados del periodo de Octubre a  Diciembre del año 2016, así como avances de Enero a Marzo del 2017, que contribuye al Plan Municipal de Desarrollo, en el eje </w:t>
      </w:r>
      <w:r w:rsidRPr="00BA2962">
        <w:rPr>
          <w:rStyle w:val="Textoennegrita"/>
          <w:rFonts w:ascii="Arial" w:hAnsi="Arial" w:cs="Arial"/>
          <w:color w:val="303030"/>
          <w:sz w:val="24"/>
          <w:szCs w:val="24"/>
          <w:shd w:val="clear" w:color="auto" w:fill="FFFFFF"/>
        </w:rPr>
        <w:t>5) La Cultura de la Legalidad y la Seguridad Ciudadana</w:t>
      </w:r>
      <w:r>
        <w:rPr>
          <w:rStyle w:val="Textoennegrita"/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 derivado del </w:t>
      </w:r>
      <w:r w:rsidRPr="00BA2962">
        <w:rPr>
          <w:rStyle w:val="Textoennegrita"/>
          <w:rFonts w:ascii="Arial" w:hAnsi="Arial" w:cs="Arial"/>
          <w:color w:val="303030"/>
          <w:sz w:val="24"/>
          <w:szCs w:val="24"/>
          <w:shd w:val="clear" w:color="auto" w:fill="FFFFFF"/>
        </w:rPr>
        <w:t>servicio</w:t>
      </w:r>
      <w:r>
        <w:rPr>
          <w:rStyle w:val="Textoennegrita"/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como dependencia encargada de  </w:t>
      </w:r>
      <w:r>
        <w:rPr>
          <w:rFonts w:ascii="Arial" w:eastAsia="TAFOTT+ArialMT" w:hAnsi="Arial" w:cs="Arial"/>
          <w:sz w:val="24"/>
          <w:szCs w:val="24"/>
        </w:rPr>
        <w:t xml:space="preserve">auxiliar y asesorar a </w:t>
      </w:r>
      <w:r w:rsidRPr="0012068B">
        <w:rPr>
          <w:rFonts w:ascii="Arial" w:eastAsia="TAFOTT+ArialMT" w:hAnsi="Arial" w:cs="Arial"/>
          <w:sz w:val="24"/>
          <w:szCs w:val="24"/>
        </w:rPr>
        <w:t xml:space="preserve">la </w:t>
      </w:r>
      <w:r w:rsidRPr="0012068B">
        <w:rPr>
          <w:rFonts w:ascii="Arial" w:hAnsi="Arial" w:cs="Arial"/>
          <w:sz w:val="24"/>
          <w:szCs w:val="24"/>
        </w:rPr>
        <w:t>Presidente Municipal, al</w:t>
      </w:r>
      <w:r>
        <w:rPr>
          <w:rFonts w:ascii="Arial" w:hAnsi="Arial" w:cs="Arial"/>
          <w:sz w:val="24"/>
          <w:szCs w:val="24"/>
        </w:rPr>
        <w:t xml:space="preserve"> Síndico, Secretario,</w:t>
      </w:r>
      <w:r w:rsidRPr="0012068B">
        <w:rPr>
          <w:rFonts w:ascii="Arial" w:hAnsi="Arial" w:cs="Arial"/>
          <w:sz w:val="24"/>
          <w:szCs w:val="24"/>
        </w:rPr>
        <w:t xml:space="preserve"> Regidores y en general a todas las Direcciones y Jefaturas de Departamento del propio Gobierno Municipal, así como a los Organismos Municipales Descentralizados y Consejo</w:t>
      </w:r>
      <w:r>
        <w:rPr>
          <w:rFonts w:ascii="Arial" w:hAnsi="Arial" w:cs="Arial"/>
          <w:sz w:val="24"/>
          <w:szCs w:val="24"/>
        </w:rPr>
        <w:t xml:space="preserve">s Consultivos Municipales que </w:t>
      </w:r>
      <w:r w:rsidRPr="0012068B">
        <w:rPr>
          <w:rFonts w:ascii="Arial" w:hAnsi="Arial" w:cs="Arial"/>
          <w:sz w:val="24"/>
          <w:szCs w:val="24"/>
        </w:rPr>
        <w:t xml:space="preserve"> integren</w:t>
      </w:r>
      <w:r>
        <w:rPr>
          <w:rFonts w:ascii="Arial" w:hAnsi="Arial" w:cs="Arial"/>
          <w:sz w:val="24"/>
          <w:szCs w:val="24"/>
        </w:rPr>
        <w:t xml:space="preserve"> el H. Ayuntamiento Constitucional de San Pedro Tlaquepaque,</w:t>
      </w:r>
      <w:r w:rsidRPr="0012068B">
        <w:rPr>
          <w:rFonts w:ascii="Arial" w:eastAsia="TAFOTT+ArialMT" w:hAnsi="Arial" w:cs="Arial"/>
          <w:sz w:val="24"/>
          <w:szCs w:val="24"/>
        </w:rPr>
        <w:t xml:space="preserve"> en el ejercicio de sus funciones de carácter técnico jurídico, consultivo y litigioso que se encuentran señaladas en la normatividad aplicable, así como en la atención y seguimiento de cualquier otra cuestión de carácter jurídico</w:t>
      </w:r>
      <w:r>
        <w:rPr>
          <w:rFonts w:ascii="Arial" w:eastAsia="TAFOTT+ArialMT" w:hAnsi="Arial" w:cs="Arial"/>
          <w:sz w:val="24"/>
          <w:szCs w:val="24"/>
        </w:rPr>
        <w:t>, en las siguientes dependencias Jefatura de lo Contencioso Administrativo, Dirección Jurídica de Obras Públicas y Jefatura de Siniestros, dando a conocer el trabajo realizado</w:t>
      </w:r>
      <w:r>
        <w:rPr>
          <w:b/>
        </w:rPr>
        <w:t>.</w:t>
      </w:r>
    </w:p>
    <w:p w:rsidR="006C3999" w:rsidRDefault="006C3999" w:rsidP="006C3999">
      <w:pPr>
        <w:spacing w:line="360" w:lineRule="auto"/>
        <w:jc w:val="both"/>
        <w:rPr>
          <w:b/>
        </w:rPr>
      </w:pPr>
    </w:p>
    <w:p w:rsidR="006C3999" w:rsidRDefault="006C3999" w:rsidP="00CC4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53796D">
        <w:rPr>
          <w:rFonts w:ascii="Arial" w:hAnsi="Arial" w:cs="Arial"/>
          <w:b/>
          <w:sz w:val="24"/>
          <w:szCs w:val="24"/>
        </w:rPr>
        <w:t>Del periodo comprendido de Octubre a Diciembre de</w:t>
      </w:r>
      <w:r>
        <w:rPr>
          <w:rFonts w:ascii="Arial" w:hAnsi="Arial" w:cs="Arial"/>
          <w:b/>
          <w:sz w:val="24"/>
          <w:szCs w:val="24"/>
        </w:rPr>
        <w:t>l año 2016.-</w:t>
      </w:r>
      <w:r>
        <w:rPr>
          <w:rFonts w:ascii="Arial" w:hAnsi="Arial" w:cs="Arial"/>
          <w:sz w:val="24"/>
          <w:szCs w:val="24"/>
        </w:rPr>
        <w:t xml:space="preserve"> En la Jefatura de lo Contencioso Administrativo, s</w:t>
      </w:r>
      <w:r w:rsidRPr="00DF4C6F">
        <w:rPr>
          <w:rFonts w:ascii="Arial" w:hAnsi="Arial" w:cs="Arial"/>
          <w:sz w:val="24"/>
          <w:szCs w:val="24"/>
        </w:rPr>
        <w:t xml:space="preserve">e realizó el procedimiento administrativo legal de </w:t>
      </w:r>
      <w:r w:rsidRPr="00B65FE1">
        <w:rPr>
          <w:rFonts w:ascii="Arial" w:hAnsi="Arial" w:cs="Arial"/>
          <w:b/>
          <w:sz w:val="24"/>
          <w:szCs w:val="24"/>
        </w:rPr>
        <w:t xml:space="preserve">149 </w:t>
      </w:r>
      <w:r w:rsidRPr="00DF4C6F">
        <w:rPr>
          <w:rFonts w:ascii="Arial" w:hAnsi="Arial" w:cs="Arial"/>
          <w:sz w:val="24"/>
          <w:szCs w:val="24"/>
        </w:rPr>
        <w:t xml:space="preserve">procedimientos, de los cuales 2 fueron turnados a la Dirección Jurídica de Obras Públicas por ser competencia de la dependencia antes mencionada, </w:t>
      </w:r>
      <w:r w:rsidRPr="00E03436">
        <w:rPr>
          <w:rFonts w:ascii="Arial" w:hAnsi="Arial" w:cs="Arial"/>
          <w:b/>
          <w:sz w:val="24"/>
          <w:szCs w:val="24"/>
        </w:rPr>
        <w:t>127</w:t>
      </w:r>
      <w:r w:rsidRPr="00DF4C6F">
        <w:rPr>
          <w:rFonts w:ascii="Arial" w:hAnsi="Arial" w:cs="Arial"/>
          <w:sz w:val="24"/>
          <w:szCs w:val="24"/>
        </w:rPr>
        <w:t xml:space="preserve"> fueron </w:t>
      </w:r>
      <w:r w:rsidRPr="00457A12">
        <w:rPr>
          <w:rFonts w:ascii="Arial" w:hAnsi="Arial" w:cs="Arial"/>
          <w:b/>
          <w:sz w:val="24"/>
          <w:szCs w:val="24"/>
        </w:rPr>
        <w:t>procedimientos de responsabilidad patrimonial</w:t>
      </w:r>
      <w:r w:rsidRPr="00DF4C6F">
        <w:rPr>
          <w:rFonts w:ascii="Arial" w:hAnsi="Arial" w:cs="Arial"/>
          <w:sz w:val="24"/>
          <w:szCs w:val="24"/>
        </w:rPr>
        <w:t xml:space="preserve"> interpuestos por ex</w:t>
      </w:r>
      <w:r>
        <w:rPr>
          <w:rFonts w:ascii="Arial" w:hAnsi="Arial" w:cs="Arial"/>
          <w:sz w:val="24"/>
          <w:szCs w:val="24"/>
        </w:rPr>
        <w:t xml:space="preserve"> </w:t>
      </w:r>
      <w:r w:rsidRPr="00DF4C6F">
        <w:rPr>
          <w:rFonts w:ascii="Arial" w:hAnsi="Arial" w:cs="Arial"/>
          <w:sz w:val="24"/>
          <w:szCs w:val="24"/>
        </w:rPr>
        <w:t xml:space="preserve">funcionarios de la </w:t>
      </w:r>
      <w:r>
        <w:rPr>
          <w:rFonts w:ascii="Arial" w:hAnsi="Arial" w:cs="Arial"/>
          <w:sz w:val="24"/>
          <w:szCs w:val="24"/>
        </w:rPr>
        <w:t xml:space="preserve">administración </w:t>
      </w:r>
      <w:r w:rsidRPr="00DF4C6F">
        <w:rPr>
          <w:rFonts w:ascii="Arial" w:hAnsi="Arial" w:cs="Arial"/>
          <w:sz w:val="24"/>
          <w:szCs w:val="24"/>
        </w:rPr>
        <w:t xml:space="preserve"> 2012-2015 por acoso laboral</w:t>
      </w:r>
      <w:r>
        <w:rPr>
          <w:rFonts w:ascii="Arial" w:hAnsi="Arial" w:cs="Arial"/>
          <w:sz w:val="24"/>
          <w:szCs w:val="24"/>
        </w:rPr>
        <w:t xml:space="preserve"> al concluir su relación de trabajo</w:t>
      </w:r>
      <w:r w:rsidRPr="00DF4C6F">
        <w:rPr>
          <w:rFonts w:ascii="Arial" w:hAnsi="Arial" w:cs="Arial"/>
          <w:sz w:val="24"/>
          <w:szCs w:val="24"/>
        </w:rPr>
        <w:t xml:space="preserve"> con el Ayuntamiento, quienes requerían el pago de $1´000,000.00</w:t>
      </w:r>
      <w:r>
        <w:rPr>
          <w:rFonts w:ascii="Arial" w:hAnsi="Arial" w:cs="Arial"/>
          <w:sz w:val="24"/>
          <w:szCs w:val="24"/>
        </w:rPr>
        <w:t xml:space="preserve"> (Un Millón de pesos</w:t>
      </w:r>
      <w:r w:rsidRPr="00DF4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00/100 M.N.) </w:t>
      </w:r>
      <w:r w:rsidRPr="00DF4C6F">
        <w:rPr>
          <w:rFonts w:ascii="Arial" w:hAnsi="Arial" w:cs="Arial"/>
          <w:sz w:val="24"/>
          <w:szCs w:val="24"/>
        </w:rPr>
        <w:t xml:space="preserve">cada uno, </w:t>
      </w:r>
      <w:r w:rsidRPr="00457A12">
        <w:rPr>
          <w:rFonts w:ascii="Arial" w:hAnsi="Arial" w:cs="Arial"/>
          <w:b/>
          <w:sz w:val="24"/>
          <w:szCs w:val="24"/>
        </w:rPr>
        <w:t>cuyas resoluciones se resolvieron IMPROCEDENTES</w:t>
      </w:r>
      <w:r>
        <w:rPr>
          <w:rFonts w:ascii="Arial" w:hAnsi="Arial" w:cs="Arial"/>
          <w:sz w:val="24"/>
          <w:szCs w:val="24"/>
        </w:rPr>
        <w:t>, i</w:t>
      </w:r>
      <w:r w:rsidRPr="00DF4C6F">
        <w:rPr>
          <w:rFonts w:ascii="Arial" w:hAnsi="Arial" w:cs="Arial"/>
          <w:sz w:val="24"/>
          <w:szCs w:val="24"/>
        </w:rPr>
        <w:t>ngreso a la Oficialía de Partes de la</w:t>
      </w:r>
      <w:r>
        <w:rPr>
          <w:rFonts w:ascii="Arial" w:hAnsi="Arial" w:cs="Arial"/>
          <w:sz w:val="24"/>
          <w:szCs w:val="24"/>
        </w:rPr>
        <w:t xml:space="preserve"> Dirección General Jurídica, </w:t>
      </w:r>
      <w:r w:rsidRPr="00BF4AB8">
        <w:rPr>
          <w:rFonts w:ascii="Arial" w:hAnsi="Arial" w:cs="Arial"/>
          <w:b/>
          <w:sz w:val="24"/>
          <w:szCs w:val="24"/>
        </w:rPr>
        <w:t>01</w:t>
      </w:r>
      <w:r w:rsidRPr="00DF4C6F">
        <w:rPr>
          <w:rFonts w:ascii="Arial" w:hAnsi="Arial" w:cs="Arial"/>
          <w:sz w:val="24"/>
          <w:szCs w:val="24"/>
        </w:rPr>
        <w:t xml:space="preserve"> queja interpuesta ante la Comisión Estatal de los Derechos H</w:t>
      </w:r>
      <w:r>
        <w:rPr>
          <w:rFonts w:ascii="Arial" w:hAnsi="Arial" w:cs="Arial"/>
          <w:sz w:val="24"/>
          <w:szCs w:val="24"/>
        </w:rPr>
        <w:t xml:space="preserve">umanos, ingresaron </w:t>
      </w:r>
      <w:r w:rsidRPr="00B65FE1">
        <w:rPr>
          <w:rFonts w:ascii="Arial" w:hAnsi="Arial" w:cs="Arial"/>
          <w:b/>
          <w:sz w:val="24"/>
          <w:szCs w:val="24"/>
        </w:rPr>
        <w:t>11 demandas</w:t>
      </w:r>
      <w:r w:rsidRPr="00DF4C6F"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b/>
          <w:sz w:val="24"/>
          <w:szCs w:val="24"/>
        </w:rPr>
        <w:t>Civiles</w:t>
      </w:r>
      <w:r w:rsidRPr="00DF4C6F">
        <w:rPr>
          <w:rFonts w:ascii="Arial" w:hAnsi="Arial" w:cs="Arial"/>
          <w:sz w:val="24"/>
          <w:szCs w:val="24"/>
        </w:rPr>
        <w:t xml:space="preserve">, las cuales son entre particulares y </w:t>
      </w:r>
      <w:r w:rsidRPr="00457A12">
        <w:rPr>
          <w:rFonts w:ascii="Arial" w:hAnsi="Arial" w:cs="Arial"/>
          <w:b/>
          <w:sz w:val="24"/>
          <w:szCs w:val="24"/>
        </w:rPr>
        <w:t>ninguna afectan propiedad municipal</w:t>
      </w:r>
      <w:r w:rsidRPr="00DF4C6F">
        <w:rPr>
          <w:rFonts w:ascii="Arial" w:hAnsi="Arial" w:cs="Arial"/>
          <w:sz w:val="24"/>
          <w:szCs w:val="24"/>
        </w:rPr>
        <w:t>, por lo que se contestó la demanda en la que se determinó que se acatara la resolución que el Juez en Materia Civil</w:t>
      </w:r>
      <w:r>
        <w:rPr>
          <w:rFonts w:ascii="Arial" w:hAnsi="Arial" w:cs="Arial"/>
          <w:sz w:val="24"/>
          <w:szCs w:val="24"/>
        </w:rPr>
        <w:t xml:space="preserve"> emita</w:t>
      </w:r>
      <w:r w:rsidRPr="00DF4C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materia de</w:t>
      </w:r>
      <w:r w:rsidRPr="00457A12"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b/>
          <w:sz w:val="24"/>
          <w:szCs w:val="24"/>
        </w:rPr>
        <w:t xml:space="preserve">Amparos </w:t>
      </w:r>
      <w:r w:rsidRPr="00B65FE1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B65FE1">
        <w:rPr>
          <w:rFonts w:ascii="Arial" w:hAnsi="Arial" w:cs="Arial"/>
          <w:b/>
          <w:sz w:val="24"/>
          <w:szCs w:val="24"/>
        </w:rPr>
        <w:t>recepcionaron</w:t>
      </w:r>
      <w:proofErr w:type="spellEnd"/>
      <w:r w:rsidRPr="00B65FE1">
        <w:rPr>
          <w:rFonts w:ascii="Arial" w:hAnsi="Arial" w:cs="Arial"/>
          <w:b/>
          <w:sz w:val="24"/>
          <w:szCs w:val="24"/>
        </w:rPr>
        <w:t xml:space="preserve"> 15</w:t>
      </w:r>
      <w:r w:rsidRPr="00457A12">
        <w:rPr>
          <w:rFonts w:ascii="Arial" w:hAnsi="Arial" w:cs="Arial"/>
          <w:sz w:val="24"/>
          <w:szCs w:val="24"/>
        </w:rPr>
        <w:t xml:space="preserve">, por diversos actos reclamados, los cuales </w:t>
      </w:r>
      <w:r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sz w:val="24"/>
          <w:szCs w:val="24"/>
        </w:rPr>
        <w:t>se encuentran</w:t>
      </w:r>
      <w:r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 proceso legal</w:t>
      </w:r>
      <w:r w:rsidRPr="00457A12">
        <w:rPr>
          <w:rFonts w:ascii="Arial" w:hAnsi="Arial" w:cs="Arial"/>
          <w:sz w:val="24"/>
          <w:szCs w:val="24"/>
        </w:rPr>
        <w:t xml:space="preserve">, </w:t>
      </w:r>
      <w:r w:rsidRPr="00457A12">
        <w:rPr>
          <w:rFonts w:ascii="Arial" w:hAnsi="Arial" w:cs="Arial"/>
          <w:b/>
          <w:sz w:val="24"/>
          <w:szCs w:val="24"/>
        </w:rPr>
        <w:t>destacando que se concluyeron satisfactoriamente 6</w:t>
      </w:r>
      <w:r>
        <w:rPr>
          <w:rFonts w:ascii="Arial" w:hAnsi="Arial" w:cs="Arial"/>
          <w:sz w:val="24"/>
          <w:szCs w:val="24"/>
        </w:rPr>
        <w:t xml:space="preserve">, en cuanto a </w:t>
      </w:r>
      <w:r w:rsidRPr="00457A12">
        <w:rPr>
          <w:rFonts w:ascii="Arial" w:hAnsi="Arial" w:cs="Arial"/>
          <w:b/>
          <w:sz w:val="24"/>
          <w:szCs w:val="24"/>
        </w:rPr>
        <w:t>Juicios de Nulidad</w:t>
      </w:r>
      <w:r>
        <w:rPr>
          <w:rFonts w:ascii="Arial" w:hAnsi="Arial" w:cs="Arial"/>
          <w:sz w:val="24"/>
          <w:szCs w:val="24"/>
        </w:rPr>
        <w:t xml:space="preserve"> </w:t>
      </w:r>
      <w:r w:rsidRPr="00B65FE1">
        <w:rPr>
          <w:rFonts w:ascii="Arial" w:hAnsi="Arial" w:cs="Arial"/>
          <w:b/>
          <w:sz w:val="24"/>
          <w:szCs w:val="24"/>
        </w:rPr>
        <w:t>se contestaron 9</w:t>
      </w:r>
      <w:r>
        <w:rPr>
          <w:rFonts w:ascii="Arial" w:hAnsi="Arial" w:cs="Arial"/>
          <w:sz w:val="24"/>
          <w:szCs w:val="24"/>
        </w:rPr>
        <w:t xml:space="preserve"> demandas, resolviéndose favorablemente una en la que el acto impugnado requerido por el actor de la demanda  era el pago de $154.000.00 (Ciento Cincuenta y Cuatro Mil pesos 00/100 M.N.), quedando la sentencia por el pago de </w:t>
      </w:r>
      <w:r w:rsidRPr="003E3E2E">
        <w:rPr>
          <w:rFonts w:ascii="Arial" w:hAnsi="Arial" w:cs="Arial"/>
          <w:sz w:val="24"/>
          <w:szCs w:val="24"/>
        </w:rPr>
        <w:t>$63,000.00</w:t>
      </w:r>
      <w:r>
        <w:rPr>
          <w:rFonts w:ascii="Arial" w:hAnsi="Arial" w:cs="Arial"/>
          <w:sz w:val="24"/>
          <w:szCs w:val="24"/>
        </w:rPr>
        <w:t xml:space="preserve"> (Sesenta y Tres mil pesos 00/100 M.N.), se interpusieron ante la Fiscalía del Estado de Jalisco </w:t>
      </w:r>
      <w:r w:rsidRPr="00B65FE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B65FE1">
        <w:rPr>
          <w:rFonts w:ascii="Arial" w:hAnsi="Arial" w:cs="Arial"/>
          <w:b/>
          <w:sz w:val="24"/>
          <w:szCs w:val="24"/>
        </w:rPr>
        <w:t xml:space="preserve">Denuncias </w:t>
      </w:r>
      <w:r>
        <w:rPr>
          <w:rFonts w:ascii="Arial" w:hAnsi="Arial" w:cs="Arial"/>
          <w:b/>
          <w:sz w:val="24"/>
          <w:szCs w:val="24"/>
        </w:rPr>
        <w:t>y 01 querella</w:t>
      </w:r>
      <w:r>
        <w:rPr>
          <w:rFonts w:ascii="Arial" w:hAnsi="Arial" w:cs="Arial"/>
          <w:sz w:val="24"/>
          <w:szCs w:val="24"/>
        </w:rPr>
        <w:t xml:space="preserve">, además  se interpusieron </w:t>
      </w:r>
      <w:r w:rsidRPr="00B65FE1">
        <w:rPr>
          <w:rFonts w:ascii="Arial" w:hAnsi="Arial" w:cs="Arial"/>
          <w:b/>
          <w:sz w:val="24"/>
          <w:szCs w:val="24"/>
        </w:rPr>
        <w:t>11 demandas mercantiles</w:t>
      </w:r>
      <w:r>
        <w:rPr>
          <w:rFonts w:ascii="Arial" w:hAnsi="Arial" w:cs="Arial"/>
          <w:sz w:val="24"/>
          <w:szCs w:val="24"/>
        </w:rPr>
        <w:t>, en contra de deudores del erario público, la Secretaria de Movilidad del Estado de Jalisco, tramito el</w:t>
      </w:r>
      <w:r w:rsidRPr="00B65FE1">
        <w:rPr>
          <w:rFonts w:ascii="Arial" w:hAnsi="Arial" w:cs="Arial"/>
          <w:sz w:val="24"/>
          <w:szCs w:val="24"/>
        </w:rPr>
        <w:t xml:space="preserve"> seguimiento de los daños ocasionados al municipio, por accidentes via</w:t>
      </w:r>
      <w:r>
        <w:rPr>
          <w:rFonts w:ascii="Arial" w:hAnsi="Arial" w:cs="Arial"/>
          <w:sz w:val="24"/>
          <w:szCs w:val="24"/>
        </w:rPr>
        <w:t>les causados por terceros siendo</w:t>
      </w:r>
      <w:r w:rsidRPr="00B65FE1">
        <w:rPr>
          <w:rFonts w:ascii="Arial" w:hAnsi="Arial" w:cs="Arial"/>
          <w:sz w:val="24"/>
          <w:szCs w:val="24"/>
        </w:rPr>
        <w:t xml:space="preserve"> </w:t>
      </w:r>
      <w:r w:rsidRPr="005300BB"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los ciudadanos que tramitaron el pago correspondiente en caso de que el área </w:t>
      </w:r>
      <w:r>
        <w:rPr>
          <w:rFonts w:ascii="Arial" w:hAnsi="Arial" w:cs="Arial"/>
          <w:sz w:val="24"/>
          <w:szCs w:val="24"/>
        </w:rPr>
        <w:lastRenderedPageBreak/>
        <w:t xml:space="preserve">de costos informara la cuantificación de los daños, se brindaron </w:t>
      </w:r>
      <w:r w:rsidRPr="00E03436">
        <w:rPr>
          <w:rFonts w:ascii="Arial" w:hAnsi="Arial" w:cs="Arial"/>
          <w:b/>
          <w:sz w:val="24"/>
          <w:szCs w:val="24"/>
        </w:rPr>
        <w:t xml:space="preserve">22 </w:t>
      </w:r>
      <w:r>
        <w:rPr>
          <w:rFonts w:ascii="Arial" w:hAnsi="Arial" w:cs="Arial"/>
          <w:sz w:val="24"/>
          <w:szCs w:val="24"/>
        </w:rPr>
        <w:t>asesorías en diversa materias a ciudadanos.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La Comisaria de Reinserción Social del Estado de Jalisco, otorga beneficios de Libertad Condicional, Tratamiento en Libertad, y Jornadas de Trabajo en Favor de la Comunidad sin Remuneración Alguna, poniendo a disposición liberados que registran su domicilio en este Municipio, presentándose mensualmente a registrar su rúbrica un total de </w:t>
      </w:r>
      <w:r w:rsidRPr="0034003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primer ingreso y dándole seguimiento a los ya reincorporados en administraciones anteriores, según el tiempo otorgado por el Juez de Distrito de Procesos Penales Federales en el Estado de Jalisco, dando un total de </w:t>
      </w:r>
      <w:r>
        <w:rPr>
          <w:rFonts w:ascii="Arial" w:hAnsi="Arial" w:cs="Arial"/>
          <w:b/>
          <w:sz w:val="24"/>
          <w:szCs w:val="24"/>
        </w:rPr>
        <w:t>1</w:t>
      </w:r>
      <w:r w:rsidRPr="000D0C0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D0C08">
        <w:rPr>
          <w:rFonts w:ascii="Arial" w:hAnsi="Arial" w:cs="Arial"/>
          <w:b/>
          <w:sz w:val="24"/>
          <w:szCs w:val="24"/>
        </w:rPr>
        <w:t>activos</w:t>
      </w:r>
      <w:r>
        <w:rPr>
          <w:rFonts w:ascii="Arial" w:hAnsi="Arial" w:cs="Arial"/>
          <w:sz w:val="24"/>
          <w:szCs w:val="24"/>
        </w:rPr>
        <w:t>.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Cabe señalar que actualmente se encuentran vigentes procedimientos legales de administraciones pasadas, un total de </w:t>
      </w:r>
      <w:r>
        <w:rPr>
          <w:rFonts w:ascii="Arial" w:hAnsi="Arial" w:cs="Arial"/>
          <w:b/>
          <w:sz w:val="24"/>
          <w:szCs w:val="24"/>
        </w:rPr>
        <w:t>768 expedientes activos</w:t>
      </w:r>
      <w:r>
        <w:rPr>
          <w:rFonts w:ascii="Arial" w:hAnsi="Arial" w:cs="Arial"/>
          <w:sz w:val="24"/>
          <w:szCs w:val="24"/>
        </w:rPr>
        <w:t>.</w:t>
      </w:r>
    </w:p>
    <w:p w:rsidR="006C3999" w:rsidRPr="0053796D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En la Jefatura de Siniestros se atendieron </w:t>
      </w:r>
      <w:r w:rsidRPr="001D6352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eventualidades</w:t>
      </w:r>
      <w:r w:rsidRPr="001D6352">
        <w:rPr>
          <w:rFonts w:ascii="Arial" w:hAnsi="Arial" w:cs="Arial"/>
          <w:sz w:val="24"/>
          <w:szCs w:val="24"/>
        </w:rPr>
        <w:t xml:space="preserve"> en total</w:t>
      </w:r>
      <w:r>
        <w:rPr>
          <w:rFonts w:ascii="Arial" w:hAnsi="Arial" w:cs="Arial"/>
          <w:sz w:val="24"/>
          <w:szCs w:val="24"/>
        </w:rPr>
        <w:t>,</w:t>
      </w:r>
      <w:r w:rsidRPr="001D6352">
        <w:rPr>
          <w:rFonts w:ascii="Arial" w:hAnsi="Arial" w:cs="Arial"/>
          <w:sz w:val="24"/>
          <w:szCs w:val="24"/>
        </w:rPr>
        <w:t xml:space="preserve"> de los cuales 30 treinta se realizó el proceso completo, </w:t>
      </w:r>
      <w:r>
        <w:rPr>
          <w:rFonts w:ascii="Arial" w:hAnsi="Arial" w:cs="Arial"/>
          <w:sz w:val="24"/>
          <w:szCs w:val="24"/>
        </w:rPr>
        <w:t xml:space="preserve"> pendientes 6</w:t>
      </w:r>
      <w:r w:rsidRPr="001D6352">
        <w:rPr>
          <w:rFonts w:ascii="Arial" w:hAnsi="Arial" w:cs="Arial"/>
          <w:sz w:val="24"/>
          <w:szCs w:val="24"/>
        </w:rPr>
        <w:t xml:space="preserve"> por concluir por trámite ante la Fiscalía del Estado de Jalisco, 4 pendientes por daño al municipio quedando por resolverse la reparación del daño, así mismo</w:t>
      </w:r>
      <w:r>
        <w:rPr>
          <w:rFonts w:ascii="Arial" w:hAnsi="Arial" w:cs="Arial"/>
          <w:sz w:val="24"/>
          <w:szCs w:val="24"/>
        </w:rPr>
        <w:t>,</w:t>
      </w:r>
      <w:r w:rsidRPr="001D6352">
        <w:rPr>
          <w:rFonts w:ascii="Arial" w:hAnsi="Arial" w:cs="Arial"/>
          <w:sz w:val="24"/>
          <w:szCs w:val="24"/>
        </w:rPr>
        <w:t xml:space="preserve"> se identifica que la Colonia con el mayor número de accidente viales por parte de conductores del parque vehicular del H. Ayuntamiento Constitucional de San Pedro Tlaquepaque, Jalisco, </w:t>
      </w:r>
      <w:r>
        <w:rPr>
          <w:rFonts w:ascii="Arial" w:hAnsi="Arial" w:cs="Arial"/>
          <w:sz w:val="24"/>
          <w:szCs w:val="24"/>
        </w:rPr>
        <w:t>es en la Colonia Las</w:t>
      </w:r>
      <w:r w:rsidRPr="001D6352">
        <w:rPr>
          <w:rFonts w:ascii="Arial" w:hAnsi="Arial" w:cs="Arial"/>
          <w:sz w:val="24"/>
          <w:szCs w:val="24"/>
        </w:rPr>
        <w:t xml:space="preserve"> Huertas</w:t>
      </w:r>
      <w:r>
        <w:rPr>
          <w:rFonts w:ascii="Arial" w:hAnsi="Arial" w:cs="Arial"/>
          <w:sz w:val="24"/>
          <w:szCs w:val="24"/>
        </w:rPr>
        <w:t xml:space="preserve"> en este Municipio</w:t>
      </w:r>
      <w:r w:rsidRPr="001D6352">
        <w:rPr>
          <w:rFonts w:ascii="Arial" w:hAnsi="Arial" w:cs="Arial"/>
          <w:sz w:val="24"/>
          <w:szCs w:val="24"/>
        </w:rPr>
        <w:t xml:space="preserve"> y la dependencia con la mayor cantidad de siniestros es la Dirección de Aseo Público.</w:t>
      </w: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96D">
        <w:rPr>
          <w:rFonts w:ascii="Arial" w:hAnsi="Arial" w:cs="Arial"/>
          <w:b/>
          <w:sz w:val="24"/>
          <w:szCs w:val="24"/>
        </w:rPr>
        <w:t xml:space="preserve">                        Actualmente de Enero a Marzo del año 2017</w:t>
      </w:r>
      <w:r>
        <w:rPr>
          <w:rFonts w:ascii="Arial" w:hAnsi="Arial" w:cs="Arial"/>
          <w:sz w:val="24"/>
          <w:szCs w:val="24"/>
        </w:rPr>
        <w:t>, En la Jefatura de lo Contencioso Administrativo, se realiza</w:t>
      </w:r>
      <w:r w:rsidRPr="00DF4C6F">
        <w:rPr>
          <w:rFonts w:ascii="Arial" w:hAnsi="Arial" w:cs="Arial"/>
          <w:sz w:val="24"/>
          <w:szCs w:val="24"/>
        </w:rPr>
        <w:t xml:space="preserve"> el procedimiento administrativo legal de </w:t>
      </w:r>
      <w:r>
        <w:rPr>
          <w:rFonts w:ascii="Arial" w:hAnsi="Arial" w:cs="Arial"/>
          <w:b/>
          <w:sz w:val="24"/>
          <w:szCs w:val="24"/>
        </w:rPr>
        <w:t>2 expedientes</w:t>
      </w:r>
      <w:r w:rsidRPr="00DF4C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i</w:t>
      </w:r>
      <w:r w:rsidRPr="00DF4C6F">
        <w:rPr>
          <w:rFonts w:ascii="Arial" w:hAnsi="Arial" w:cs="Arial"/>
          <w:sz w:val="24"/>
          <w:szCs w:val="24"/>
        </w:rPr>
        <w:t>ngreso a la Oficialía de Partes de la</w:t>
      </w:r>
      <w:r>
        <w:rPr>
          <w:rFonts w:ascii="Arial" w:hAnsi="Arial" w:cs="Arial"/>
          <w:sz w:val="24"/>
          <w:szCs w:val="24"/>
        </w:rPr>
        <w:t xml:space="preserve"> Dirección General Jurídica, </w:t>
      </w:r>
      <w:r>
        <w:rPr>
          <w:rFonts w:ascii="Arial" w:hAnsi="Arial" w:cs="Arial"/>
          <w:b/>
          <w:sz w:val="24"/>
          <w:szCs w:val="24"/>
        </w:rPr>
        <w:t>dos</w:t>
      </w:r>
      <w:r w:rsidRPr="00DF4C6F">
        <w:rPr>
          <w:rFonts w:ascii="Arial" w:hAnsi="Arial" w:cs="Arial"/>
          <w:sz w:val="24"/>
          <w:szCs w:val="24"/>
        </w:rPr>
        <w:t xml:space="preserve"> queja</w:t>
      </w:r>
      <w:r>
        <w:rPr>
          <w:rFonts w:ascii="Arial" w:hAnsi="Arial" w:cs="Arial"/>
          <w:sz w:val="24"/>
          <w:szCs w:val="24"/>
        </w:rPr>
        <w:t>s</w:t>
      </w:r>
      <w:r w:rsidRPr="00DF4C6F">
        <w:rPr>
          <w:rFonts w:ascii="Arial" w:hAnsi="Arial" w:cs="Arial"/>
          <w:sz w:val="24"/>
          <w:szCs w:val="24"/>
        </w:rPr>
        <w:t xml:space="preserve"> interpuesta</w:t>
      </w:r>
      <w:r>
        <w:rPr>
          <w:rFonts w:ascii="Arial" w:hAnsi="Arial" w:cs="Arial"/>
          <w:sz w:val="24"/>
          <w:szCs w:val="24"/>
        </w:rPr>
        <w:t>s</w:t>
      </w:r>
      <w:r w:rsidRPr="00DF4C6F">
        <w:rPr>
          <w:rFonts w:ascii="Arial" w:hAnsi="Arial" w:cs="Arial"/>
          <w:sz w:val="24"/>
          <w:szCs w:val="24"/>
        </w:rPr>
        <w:t xml:space="preserve"> ante la Comisión Estatal de los Derechos H</w:t>
      </w:r>
      <w:r>
        <w:rPr>
          <w:rFonts w:ascii="Arial" w:hAnsi="Arial" w:cs="Arial"/>
          <w:sz w:val="24"/>
          <w:szCs w:val="24"/>
        </w:rPr>
        <w:t>umanos</w:t>
      </w:r>
      <w:r w:rsidRPr="00DF4C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materia de</w:t>
      </w:r>
      <w:r w:rsidRPr="00457A12"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b/>
          <w:sz w:val="24"/>
          <w:szCs w:val="24"/>
        </w:rPr>
        <w:t xml:space="preserve">Amparos </w:t>
      </w:r>
      <w:r w:rsidRPr="00B65FE1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B65FE1">
        <w:rPr>
          <w:rFonts w:ascii="Arial" w:hAnsi="Arial" w:cs="Arial"/>
          <w:b/>
          <w:sz w:val="24"/>
          <w:szCs w:val="24"/>
        </w:rPr>
        <w:t>rec</w:t>
      </w:r>
      <w:r>
        <w:rPr>
          <w:rFonts w:ascii="Arial" w:hAnsi="Arial" w:cs="Arial"/>
          <w:b/>
          <w:sz w:val="24"/>
          <w:szCs w:val="24"/>
        </w:rPr>
        <w:t>epcionaron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</w:t>
      </w:r>
      <w:r w:rsidRPr="00457A12">
        <w:rPr>
          <w:rFonts w:ascii="Arial" w:hAnsi="Arial" w:cs="Arial"/>
          <w:sz w:val="24"/>
          <w:szCs w:val="24"/>
        </w:rPr>
        <w:t xml:space="preserve">, por diversos actos reclamados, los cuales </w:t>
      </w:r>
      <w:r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sz w:val="24"/>
          <w:szCs w:val="24"/>
        </w:rPr>
        <w:t>se encuentran</w:t>
      </w:r>
      <w:r>
        <w:rPr>
          <w:rFonts w:ascii="Arial" w:hAnsi="Arial" w:cs="Arial"/>
          <w:sz w:val="24"/>
          <w:szCs w:val="24"/>
        </w:rPr>
        <w:t xml:space="preserve"> </w:t>
      </w:r>
      <w:r w:rsidRPr="00457A12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 proceso legal</w:t>
      </w:r>
      <w:r w:rsidRPr="00E03436">
        <w:rPr>
          <w:rFonts w:ascii="Arial" w:hAnsi="Arial" w:cs="Arial"/>
          <w:sz w:val="24"/>
          <w:szCs w:val="24"/>
        </w:rPr>
        <w:t>, destacando que se concluyeron satisfactoriamente</w:t>
      </w:r>
      <w:r w:rsidRPr="00457A12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, en cuanto a </w:t>
      </w:r>
      <w:r w:rsidRPr="00457A12">
        <w:rPr>
          <w:rFonts w:ascii="Arial" w:hAnsi="Arial" w:cs="Arial"/>
          <w:b/>
          <w:sz w:val="24"/>
          <w:szCs w:val="24"/>
        </w:rPr>
        <w:t>Juicios de Nulidad</w:t>
      </w:r>
      <w:r>
        <w:rPr>
          <w:rFonts w:ascii="Arial" w:hAnsi="Arial" w:cs="Arial"/>
          <w:sz w:val="24"/>
          <w:szCs w:val="24"/>
        </w:rPr>
        <w:t xml:space="preserve"> </w:t>
      </w:r>
      <w:r w:rsidRPr="00B65FE1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>contestaron 40</w:t>
      </w:r>
      <w:r>
        <w:rPr>
          <w:rFonts w:ascii="Arial" w:hAnsi="Arial" w:cs="Arial"/>
          <w:sz w:val="24"/>
          <w:szCs w:val="24"/>
        </w:rPr>
        <w:t xml:space="preserve"> demandas, se interpusieron ante la Fiscalía del Estado de Jalisco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B65FE1">
        <w:rPr>
          <w:rFonts w:ascii="Arial" w:hAnsi="Arial" w:cs="Arial"/>
          <w:b/>
          <w:sz w:val="24"/>
          <w:szCs w:val="24"/>
        </w:rPr>
        <w:t xml:space="preserve">Denuncias </w:t>
      </w:r>
      <w:r>
        <w:rPr>
          <w:rFonts w:ascii="Arial" w:hAnsi="Arial" w:cs="Arial"/>
          <w:sz w:val="24"/>
          <w:szCs w:val="24"/>
        </w:rPr>
        <w:t xml:space="preserve">, además  se interpusieron </w:t>
      </w:r>
      <w:r>
        <w:rPr>
          <w:rFonts w:ascii="Arial" w:hAnsi="Arial" w:cs="Arial"/>
          <w:b/>
          <w:sz w:val="24"/>
          <w:szCs w:val="24"/>
        </w:rPr>
        <w:t>04</w:t>
      </w:r>
      <w:r w:rsidRPr="00B65FE1">
        <w:rPr>
          <w:rFonts w:ascii="Arial" w:hAnsi="Arial" w:cs="Arial"/>
          <w:b/>
          <w:sz w:val="24"/>
          <w:szCs w:val="24"/>
        </w:rPr>
        <w:t xml:space="preserve"> demandas mercantiles</w:t>
      </w:r>
      <w:r>
        <w:rPr>
          <w:rFonts w:ascii="Arial" w:hAnsi="Arial" w:cs="Arial"/>
          <w:sz w:val="24"/>
          <w:szCs w:val="24"/>
        </w:rPr>
        <w:t>, en contra de deudores del erario público, la Secretaria de Movilidad del Estado de Jalisco, se tramito el</w:t>
      </w:r>
      <w:r w:rsidRPr="00B65FE1">
        <w:rPr>
          <w:rFonts w:ascii="Arial" w:hAnsi="Arial" w:cs="Arial"/>
          <w:sz w:val="24"/>
          <w:szCs w:val="24"/>
        </w:rPr>
        <w:t xml:space="preserve"> seguimiento de los daños ocasionados al municipio, por accidentes via</w:t>
      </w:r>
      <w:r>
        <w:rPr>
          <w:rFonts w:ascii="Arial" w:hAnsi="Arial" w:cs="Arial"/>
          <w:sz w:val="24"/>
          <w:szCs w:val="24"/>
        </w:rPr>
        <w:t xml:space="preserve">les causados por terceros siendo </w:t>
      </w:r>
      <w:r w:rsidRPr="005017E6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los ciudadanos que tramitaron el pago correspondiente después de que el área de costos informara la cuantificación de los daños, ingresando al municipio la cantidad de $31,080,07 (TREINTA Y UN MIL PESOS 07/100 M.N.),  firmándose el desistimiento</w:t>
      </w:r>
      <w:r w:rsidRPr="00B8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brindaron </w:t>
      </w:r>
      <w:r>
        <w:rPr>
          <w:rFonts w:ascii="Arial" w:hAnsi="Arial" w:cs="Arial"/>
          <w:b/>
          <w:sz w:val="24"/>
          <w:szCs w:val="24"/>
        </w:rPr>
        <w:t>56</w:t>
      </w:r>
      <w:r w:rsidRPr="00E034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asesorías en diversa materias a ciudadanos.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AB1" w:rsidRDefault="00CC4AB1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Pr="000D0C08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La Comisaria de Reinserción Social del Estado de Jalisco, otorga beneficios de Libertad Condicional, Tratamiento en Libertad, y Jornadas de Trabajo en Favor de la Comunidad sin Remuneración Alguna, poniendo a disposición liberados que registran su domicilio en este Municipio, presentándose mensualmente a registrar su rúbrica un total de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primer ingreso y dándole seguimiento a los ya reincorporados en administraciones anteriores, según el tiempo otorgado por el Juez de Distrito de Procesos Penales Federales en el Estado de Jalisco, dando un total de </w:t>
      </w:r>
      <w:r>
        <w:rPr>
          <w:rFonts w:ascii="Arial" w:hAnsi="Arial" w:cs="Arial"/>
          <w:b/>
          <w:sz w:val="24"/>
          <w:szCs w:val="24"/>
        </w:rPr>
        <w:t>125</w:t>
      </w:r>
      <w:r w:rsidRPr="000D0C08">
        <w:rPr>
          <w:rFonts w:ascii="Arial" w:hAnsi="Arial" w:cs="Arial"/>
          <w:b/>
          <w:sz w:val="24"/>
          <w:szCs w:val="24"/>
        </w:rPr>
        <w:t xml:space="preserve"> activos</w:t>
      </w:r>
      <w:r>
        <w:rPr>
          <w:rFonts w:ascii="Arial" w:hAnsi="Arial" w:cs="Arial"/>
          <w:sz w:val="24"/>
          <w:szCs w:val="24"/>
        </w:rPr>
        <w:t>.</w:t>
      </w:r>
    </w:p>
    <w:p w:rsidR="006C3999" w:rsidRPr="00FD2184" w:rsidRDefault="006C3999" w:rsidP="006C39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Cabe señalar que actualmente se encuentran vigentes procedimientos legales de administraciones pasadas un total de </w:t>
      </w:r>
      <w:r w:rsidRPr="00902F29">
        <w:rPr>
          <w:rFonts w:ascii="Arial" w:hAnsi="Arial" w:cs="Arial"/>
          <w:b/>
          <w:sz w:val="24"/>
          <w:szCs w:val="24"/>
        </w:rPr>
        <w:t>766</w:t>
      </w:r>
      <w:r>
        <w:rPr>
          <w:rFonts w:ascii="Arial" w:hAnsi="Arial" w:cs="Arial"/>
          <w:b/>
          <w:sz w:val="24"/>
          <w:szCs w:val="24"/>
        </w:rPr>
        <w:t xml:space="preserve"> expedientes activos, concluyendo 02, a la fecha se han concluido 159 Juicios favorablemente en la administración 2015-2018</w:t>
      </w:r>
      <w:r w:rsidRPr="00902F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6C3999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En la Jefatura de Siniestros se</w:t>
      </w:r>
      <w:r>
        <w:rPr>
          <w:rFonts w:ascii="Arial" w:hAnsi="Arial" w:cs="Arial"/>
        </w:rPr>
        <w:t xml:space="preserve">  </w:t>
      </w:r>
      <w:r w:rsidRPr="005436D6">
        <w:rPr>
          <w:rFonts w:ascii="Arial" w:hAnsi="Arial" w:cs="Arial"/>
          <w:sz w:val="24"/>
          <w:szCs w:val="24"/>
        </w:rPr>
        <w:t xml:space="preserve">atendieron por parte de esta área </w:t>
      </w:r>
      <w:r w:rsidRPr="005436D6">
        <w:rPr>
          <w:rFonts w:ascii="Arial" w:hAnsi="Arial" w:cs="Arial"/>
          <w:b/>
          <w:sz w:val="24"/>
          <w:szCs w:val="24"/>
        </w:rPr>
        <w:t xml:space="preserve">40 </w:t>
      </w:r>
      <w:r w:rsidRPr="005436D6">
        <w:rPr>
          <w:rFonts w:ascii="Arial" w:hAnsi="Arial" w:cs="Arial"/>
          <w:sz w:val="24"/>
          <w:szCs w:val="24"/>
        </w:rPr>
        <w:t xml:space="preserve">siniestros de ellos 37 son relacionados con el parque vehicular, 2 de ellos por daño al patrimonio del ayuntamiento con afectación en luminarias. Se hace especial mención que se presentó 1 siniestro relacionado con el robo de un vehículo automotor que obedece a la siguiente descripción: 1.- Número económico patrimonial </w:t>
      </w:r>
      <w:r w:rsidRPr="005436D6">
        <w:rPr>
          <w:rFonts w:ascii="Arial" w:hAnsi="Arial" w:cs="Arial"/>
          <w:b/>
          <w:sz w:val="24"/>
          <w:szCs w:val="24"/>
        </w:rPr>
        <w:t xml:space="preserve">571, </w:t>
      </w:r>
      <w:r w:rsidRPr="005436D6">
        <w:rPr>
          <w:rFonts w:ascii="Arial" w:hAnsi="Arial" w:cs="Arial"/>
          <w:sz w:val="24"/>
          <w:szCs w:val="24"/>
        </w:rPr>
        <w:t>de</w:t>
      </w:r>
      <w:r w:rsidRPr="005436D6">
        <w:rPr>
          <w:rFonts w:ascii="Arial" w:hAnsi="Arial" w:cs="Arial"/>
          <w:b/>
          <w:sz w:val="24"/>
          <w:szCs w:val="24"/>
        </w:rPr>
        <w:t xml:space="preserve"> </w:t>
      </w:r>
      <w:r w:rsidRPr="005436D6">
        <w:rPr>
          <w:rFonts w:ascii="Arial" w:hAnsi="Arial" w:cs="Arial"/>
          <w:sz w:val="24"/>
          <w:szCs w:val="24"/>
        </w:rPr>
        <w:t xml:space="preserve">la marca </w:t>
      </w:r>
      <w:r w:rsidRPr="005436D6">
        <w:rPr>
          <w:rFonts w:ascii="Arial" w:hAnsi="Arial" w:cs="Arial"/>
          <w:b/>
          <w:sz w:val="24"/>
          <w:szCs w:val="24"/>
        </w:rPr>
        <w:t>Chevrolet Kodiak</w:t>
      </w:r>
      <w:r w:rsidRPr="005436D6">
        <w:rPr>
          <w:rFonts w:ascii="Arial" w:hAnsi="Arial" w:cs="Arial"/>
          <w:sz w:val="24"/>
          <w:szCs w:val="24"/>
        </w:rPr>
        <w:t xml:space="preserve">, tipo </w:t>
      </w:r>
      <w:r w:rsidRPr="005436D6">
        <w:rPr>
          <w:rFonts w:ascii="Arial" w:hAnsi="Arial" w:cs="Arial"/>
          <w:b/>
          <w:sz w:val="24"/>
          <w:szCs w:val="24"/>
        </w:rPr>
        <w:t xml:space="preserve">Pipa, </w:t>
      </w:r>
      <w:r w:rsidRPr="005436D6">
        <w:rPr>
          <w:rFonts w:ascii="Arial" w:hAnsi="Arial" w:cs="Arial"/>
          <w:sz w:val="24"/>
          <w:szCs w:val="24"/>
        </w:rPr>
        <w:t xml:space="preserve">modelo </w:t>
      </w:r>
      <w:r w:rsidRPr="005436D6">
        <w:rPr>
          <w:rFonts w:ascii="Arial" w:hAnsi="Arial" w:cs="Arial"/>
          <w:b/>
          <w:sz w:val="24"/>
          <w:szCs w:val="24"/>
        </w:rPr>
        <w:t xml:space="preserve">2008, </w:t>
      </w:r>
      <w:r w:rsidRPr="005436D6">
        <w:rPr>
          <w:rFonts w:ascii="Arial" w:hAnsi="Arial" w:cs="Arial"/>
          <w:sz w:val="24"/>
          <w:szCs w:val="24"/>
        </w:rPr>
        <w:t xml:space="preserve">con placas de circulación </w:t>
      </w:r>
      <w:r w:rsidRPr="005436D6">
        <w:rPr>
          <w:rFonts w:ascii="Arial" w:hAnsi="Arial" w:cs="Arial"/>
          <w:b/>
          <w:sz w:val="24"/>
          <w:szCs w:val="24"/>
        </w:rPr>
        <w:t>JP73923</w:t>
      </w:r>
      <w:r w:rsidRPr="005436D6">
        <w:rPr>
          <w:rFonts w:ascii="Arial" w:hAnsi="Arial" w:cs="Arial"/>
          <w:sz w:val="24"/>
          <w:szCs w:val="24"/>
        </w:rPr>
        <w:t>.</w:t>
      </w:r>
    </w:p>
    <w:p w:rsidR="006C3999" w:rsidRPr="005436D6" w:rsidRDefault="006C3999" w:rsidP="006C3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Las actividades registradas de </w:t>
      </w:r>
      <w:r w:rsidRPr="00A47160">
        <w:rPr>
          <w:rFonts w:ascii="Arial" w:hAnsi="Arial" w:cs="Arial"/>
          <w:b/>
          <w:sz w:val="24"/>
          <w:szCs w:val="24"/>
        </w:rPr>
        <w:t xml:space="preserve">Octubre a Diciembre del año 2016 en la Dirección Jurídica de Obras Públicas, </w:t>
      </w:r>
      <w:r>
        <w:rPr>
          <w:rFonts w:ascii="Arial" w:hAnsi="Arial" w:cs="Arial"/>
          <w:sz w:val="24"/>
          <w:szCs w:val="24"/>
        </w:rPr>
        <w:t xml:space="preserve">se desglosan de la siguiente manera: se realizaron </w:t>
      </w:r>
      <w:r w:rsidRPr="00DF69D1">
        <w:rPr>
          <w:rFonts w:ascii="Arial" w:hAnsi="Arial" w:cs="Arial"/>
          <w:b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 xml:space="preserve"> asesorías a la ciudadanía, se solicitaron e iniciaron </w:t>
      </w:r>
      <w:r>
        <w:rPr>
          <w:rFonts w:ascii="Arial" w:hAnsi="Arial" w:cs="Arial"/>
          <w:b/>
          <w:sz w:val="24"/>
          <w:szCs w:val="24"/>
        </w:rPr>
        <w:t xml:space="preserve">96 </w:t>
      </w:r>
      <w:r>
        <w:rPr>
          <w:rFonts w:ascii="Arial" w:hAnsi="Arial" w:cs="Arial"/>
          <w:sz w:val="24"/>
          <w:szCs w:val="24"/>
        </w:rPr>
        <w:t xml:space="preserve">convenios de tolerancia, ingresaron a la oficialía de partes </w:t>
      </w:r>
      <w:r>
        <w:rPr>
          <w:rFonts w:ascii="Arial" w:hAnsi="Arial" w:cs="Arial"/>
          <w:b/>
          <w:sz w:val="24"/>
          <w:szCs w:val="24"/>
        </w:rPr>
        <w:t xml:space="preserve">07 </w:t>
      </w:r>
      <w:r>
        <w:rPr>
          <w:rFonts w:ascii="Arial" w:hAnsi="Arial" w:cs="Arial"/>
          <w:sz w:val="24"/>
          <w:szCs w:val="24"/>
        </w:rPr>
        <w:t xml:space="preserve">amparos, así como </w:t>
      </w:r>
      <w:r>
        <w:rPr>
          <w:rFonts w:ascii="Arial" w:hAnsi="Arial" w:cs="Arial"/>
          <w:b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 xml:space="preserve">recurso de revisión, los recursos judiciales atendidos fueron </w:t>
      </w:r>
      <w:r>
        <w:rPr>
          <w:rFonts w:ascii="Arial" w:hAnsi="Arial" w:cs="Arial"/>
          <w:b/>
          <w:sz w:val="24"/>
          <w:szCs w:val="24"/>
        </w:rPr>
        <w:t xml:space="preserve">10, </w:t>
      </w:r>
      <w:r w:rsidRPr="00CD3F1F">
        <w:rPr>
          <w:rFonts w:ascii="Arial" w:hAnsi="Arial" w:cs="Arial"/>
          <w:sz w:val="24"/>
          <w:szCs w:val="24"/>
        </w:rPr>
        <w:t>las notificaciones realizadas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3F1F"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b/>
          <w:sz w:val="24"/>
          <w:szCs w:val="24"/>
        </w:rPr>
        <w:t xml:space="preserve"> 10, </w:t>
      </w:r>
      <w:r>
        <w:rPr>
          <w:rFonts w:ascii="Arial" w:hAnsi="Arial" w:cs="Arial"/>
          <w:sz w:val="24"/>
          <w:szCs w:val="24"/>
        </w:rPr>
        <w:t xml:space="preserve">con apoyo de diversas dependencias del Ayuntamiento se realizaron  </w:t>
      </w:r>
      <w:r>
        <w:rPr>
          <w:rFonts w:ascii="Arial" w:hAnsi="Arial" w:cs="Arial"/>
          <w:b/>
          <w:sz w:val="24"/>
          <w:szCs w:val="24"/>
        </w:rPr>
        <w:t xml:space="preserve">180 </w:t>
      </w:r>
      <w:r>
        <w:rPr>
          <w:rFonts w:ascii="Arial" w:hAnsi="Arial" w:cs="Arial"/>
          <w:sz w:val="24"/>
          <w:szCs w:val="24"/>
        </w:rPr>
        <w:t xml:space="preserve">inspecciones oculares, se inició con </w:t>
      </w:r>
      <w:r w:rsidRPr="00CD3F1F">
        <w:rPr>
          <w:rFonts w:ascii="Arial" w:hAnsi="Arial" w:cs="Arial"/>
          <w:b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 procedimientos para la recuperación de predios, los procedimientos de responsabilidad patrimonial gestionados fueron </w:t>
      </w:r>
      <w:r w:rsidRPr="00CD3F1F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>.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99" w:rsidRDefault="006C3999" w:rsidP="00CC4AB1">
      <w:pPr>
        <w:spacing w:line="360" w:lineRule="auto"/>
        <w:ind w:firstLine="1418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26D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6D13">
        <w:rPr>
          <w:rFonts w:ascii="Arial" w:hAnsi="Arial" w:cs="Arial"/>
          <w:b/>
          <w:sz w:val="24"/>
          <w:szCs w:val="24"/>
        </w:rPr>
        <w:t xml:space="preserve"> </w:t>
      </w:r>
      <w:r w:rsidRPr="00326D13">
        <w:rPr>
          <w:rFonts w:ascii="Arial" w:hAnsi="Arial" w:cs="Arial"/>
          <w:sz w:val="24"/>
          <w:szCs w:val="24"/>
        </w:rPr>
        <w:t xml:space="preserve">El periodo comprendido de </w:t>
      </w:r>
      <w:r w:rsidRPr="00326D13">
        <w:rPr>
          <w:rFonts w:ascii="Arial" w:hAnsi="Arial" w:cs="Arial"/>
          <w:b/>
          <w:sz w:val="24"/>
          <w:szCs w:val="24"/>
        </w:rPr>
        <w:t xml:space="preserve">Enero a Marzo del año 2017,  </w:t>
      </w:r>
      <w:r w:rsidRPr="00326D13">
        <w:rPr>
          <w:rFonts w:ascii="Arial" w:hAnsi="Arial" w:cs="Arial"/>
          <w:sz w:val="24"/>
          <w:szCs w:val="24"/>
        </w:rPr>
        <w:t xml:space="preserve">se registraron las actividades que a continuación se describen </w:t>
      </w:r>
      <w:r w:rsidRPr="00326D13">
        <w:rPr>
          <w:rFonts w:ascii="Arial" w:hAnsi="Arial" w:cs="Arial"/>
          <w:b/>
          <w:sz w:val="24"/>
          <w:szCs w:val="24"/>
        </w:rPr>
        <w:t>292</w:t>
      </w:r>
      <w:r w:rsidRPr="00326D13">
        <w:rPr>
          <w:rFonts w:ascii="Arial" w:hAnsi="Arial" w:cs="Arial"/>
          <w:sz w:val="24"/>
          <w:szCs w:val="24"/>
        </w:rPr>
        <w:t xml:space="preserve"> asesorías a la ciudadanía, se solicitaron e iniciaron </w:t>
      </w:r>
      <w:r w:rsidRPr="00326D13">
        <w:rPr>
          <w:rFonts w:ascii="Arial" w:hAnsi="Arial" w:cs="Arial"/>
          <w:b/>
          <w:sz w:val="24"/>
          <w:szCs w:val="24"/>
        </w:rPr>
        <w:t xml:space="preserve">98 </w:t>
      </w:r>
      <w:r w:rsidRPr="00326D13">
        <w:rPr>
          <w:rFonts w:ascii="Arial" w:hAnsi="Arial" w:cs="Arial"/>
          <w:sz w:val="24"/>
          <w:szCs w:val="24"/>
        </w:rPr>
        <w:t xml:space="preserve">convenios de tolerancia, ingresaron a la oficialía de partes </w:t>
      </w:r>
      <w:r w:rsidRPr="00326D13">
        <w:rPr>
          <w:rFonts w:ascii="Arial" w:hAnsi="Arial" w:cs="Arial"/>
          <w:b/>
          <w:sz w:val="24"/>
          <w:szCs w:val="24"/>
        </w:rPr>
        <w:t xml:space="preserve">03 </w:t>
      </w:r>
      <w:r w:rsidRPr="00326D13">
        <w:rPr>
          <w:rFonts w:ascii="Arial" w:hAnsi="Arial" w:cs="Arial"/>
          <w:sz w:val="24"/>
          <w:szCs w:val="24"/>
        </w:rPr>
        <w:t xml:space="preserve">amparos, así como </w:t>
      </w:r>
      <w:r w:rsidRPr="00326D13">
        <w:rPr>
          <w:rFonts w:ascii="Arial" w:hAnsi="Arial" w:cs="Arial"/>
          <w:b/>
          <w:sz w:val="24"/>
          <w:szCs w:val="24"/>
        </w:rPr>
        <w:t xml:space="preserve">01 </w:t>
      </w:r>
      <w:r w:rsidRPr="00326D13">
        <w:rPr>
          <w:rFonts w:ascii="Arial" w:hAnsi="Arial" w:cs="Arial"/>
          <w:sz w:val="24"/>
          <w:szCs w:val="24"/>
        </w:rPr>
        <w:t xml:space="preserve">recurso de revisión, además se tramito </w:t>
      </w:r>
      <w:r w:rsidRPr="00326D13">
        <w:rPr>
          <w:rFonts w:ascii="Arial" w:hAnsi="Arial" w:cs="Arial"/>
          <w:b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 xml:space="preserve">Juicio de </w:t>
      </w:r>
      <w:proofErr w:type="spellStart"/>
      <w:r>
        <w:rPr>
          <w:rFonts w:ascii="Arial" w:hAnsi="Arial" w:cs="Arial"/>
          <w:sz w:val="24"/>
          <w:szCs w:val="24"/>
        </w:rPr>
        <w:t>Lesividad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 xml:space="preserve">juicios de nulidad ante el Tribunal de lo Administrativo del Estado de Jalisco, </w:t>
      </w:r>
      <w:r w:rsidRPr="00326D13">
        <w:rPr>
          <w:rFonts w:ascii="Arial" w:hAnsi="Arial" w:cs="Arial"/>
          <w:sz w:val="24"/>
          <w:szCs w:val="24"/>
        </w:rPr>
        <w:t xml:space="preserve"> los recursos judiciales atendidos fueron </w:t>
      </w:r>
      <w:r w:rsidRPr="00326D13">
        <w:rPr>
          <w:rFonts w:ascii="Arial" w:hAnsi="Arial" w:cs="Arial"/>
          <w:b/>
          <w:sz w:val="24"/>
          <w:szCs w:val="24"/>
        </w:rPr>
        <w:t xml:space="preserve">02, </w:t>
      </w:r>
      <w:r w:rsidRPr="00326D13">
        <w:rPr>
          <w:rFonts w:ascii="Arial" w:hAnsi="Arial" w:cs="Arial"/>
          <w:sz w:val="24"/>
          <w:szCs w:val="24"/>
        </w:rPr>
        <w:t>las notificaciones realizadas</w:t>
      </w:r>
      <w:r w:rsidRPr="00326D13">
        <w:rPr>
          <w:rFonts w:ascii="Arial" w:hAnsi="Arial" w:cs="Arial"/>
          <w:b/>
          <w:sz w:val="24"/>
          <w:szCs w:val="24"/>
        </w:rPr>
        <w:t xml:space="preserve"> </w:t>
      </w:r>
      <w:r w:rsidRPr="00326D13">
        <w:rPr>
          <w:rFonts w:ascii="Arial" w:hAnsi="Arial" w:cs="Arial"/>
          <w:sz w:val="24"/>
          <w:szCs w:val="24"/>
        </w:rPr>
        <w:t>fueron</w:t>
      </w:r>
      <w:r w:rsidRPr="00326D13">
        <w:rPr>
          <w:rFonts w:ascii="Arial" w:hAnsi="Arial" w:cs="Arial"/>
          <w:b/>
          <w:sz w:val="24"/>
          <w:szCs w:val="24"/>
        </w:rPr>
        <w:t xml:space="preserve"> 38, </w:t>
      </w:r>
      <w:r w:rsidRPr="00326D13">
        <w:rPr>
          <w:rFonts w:ascii="Arial" w:hAnsi="Arial" w:cs="Arial"/>
          <w:sz w:val="24"/>
          <w:szCs w:val="24"/>
        </w:rPr>
        <w:t xml:space="preserve">con apoyo de diversas dependencias del Ayuntamiento se realizaron  </w:t>
      </w:r>
      <w:r w:rsidRPr="00326D13">
        <w:rPr>
          <w:rFonts w:ascii="Arial" w:hAnsi="Arial" w:cs="Arial"/>
          <w:b/>
          <w:sz w:val="24"/>
          <w:szCs w:val="24"/>
        </w:rPr>
        <w:t xml:space="preserve">18 </w:t>
      </w:r>
      <w:r w:rsidRPr="00326D13">
        <w:rPr>
          <w:rFonts w:ascii="Arial" w:hAnsi="Arial" w:cs="Arial"/>
          <w:sz w:val="24"/>
          <w:szCs w:val="24"/>
        </w:rPr>
        <w:t xml:space="preserve">inspecciones oculares, se inició con </w:t>
      </w:r>
      <w:r w:rsidRPr="00326D13">
        <w:rPr>
          <w:rFonts w:ascii="Arial" w:hAnsi="Arial" w:cs="Arial"/>
          <w:b/>
          <w:sz w:val="24"/>
          <w:szCs w:val="24"/>
        </w:rPr>
        <w:t>18</w:t>
      </w:r>
      <w:r w:rsidRPr="00326D13">
        <w:rPr>
          <w:rFonts w:ascii="Arial" w:hAnsi="Arial" w:cs="Arial"/>
          <w:sz w:val="24"/>
          <w:szCs w:val="24"/>
        </w:rPr>
        <w:t xml:space="preserve"> procedimientos para la recuperación de predios, los procedimientos de responsabilidad patrimonial gestionados fueron </w:t>
      </w:r>
      <w:r w:rsidRPr="00326D13">
        <w:rPr>
          <w:rFonts w:ascii="Arial" w:hAnsi="Arial" w:cs="Arial"/>
          <w:b/>
          <w:sz w:val="24"/>
          <w:szCs w:val="24"/>
        </w:rPr>
        <w:t xml:space="preserve">02, </w:t>
      </w:r>
      <w:r w:rsidRPr="00326D13">
        <w:rPr>
          <w:rFonts w:ascii="Arial" w:hAnsi="Arial" w:cs="Arial"/>
          <w:sz w:val="24"/>
          <w:szCs w:val="24"/>
        </w:rPr>
        <w:t xml:space="preserve">se presentaron ante la Fiscalía del Estado de Jalisco </w:t>
      </w:r>
      <w:r w:rsidRPr="00326D13">
        <w:rPr>
          <w:rFonts w:ascii="Arial" w:hAnsi="Arial" w:cs="Arial"/>
          <w:b/>
          <w:sz w:val="24"/>
          <w:szCs w:val="24"/>
        </w:rPr>
        <w:t xml:space="preserve">02 </w:t>
      </w:r>
      <w:r w:rsidRPr="00326D13">
        <w:rPr>
          <w:rFonts w:ascii="Arial" w:hAnsi="Arial" w:cs="Arial"/>
          <w:sz w:val="24"/>
          <w:szCs w:val="24"/>
        </w:rPr>
        <w:t xml:space="preserve">denuncias por invasión, se iniciaron con </w:t>
      </w:r>
      <w:r w:rsidRPr="00326D13">
        <w:rPr>
          <w:rFonts w:ascii="Arial" w:hAnsi="Arial" w:cs="Arial"/>
          <w:b/>
          <w:sz w:val="24"/>
          <w:szCs w:val="24"/>
        </w:rPr>
        <w:t xml:space="preserve">07 </w:t>
      </w:r>
      <w:r w:rsidRPr="00326D13">
        <w:rPr>
          <w:rFonts w:ascii="Arial" w:hAnsi="Arial" w:cs="Arial"/>
          <w:sz w:val="24"/>
          <w:szCs w:val="24"/>
        </w:rPr>
        <w:t xml:space="preserve">procedimientos de demolición,  </w:t>
      </w:r>
      <w:r>
        <w:rPr>
          <w:rFonts w:ascii="Arial" w:hAnsi="Arial" w:cs="Arial"/>
          <w:noProof/>
          <w:sz w:val="24"/>
          <w:szCs w:val="24"/>
          <w:lang w:eastAsia="es-MX"/>
        </w:rPr>
        <w:t>de conformidad</w:t>
      </w:r>
      <w:r w:rsidRPr="00326D13">
        <w:rPr>
          <w:rFonts w:ascii="Arial" w:hAnsi="Arial" w:cs="Arial"/>
          <w:noProof/>
          <w:sz w:val="24"/>
          <w:szCs w:val="24"/>
          <w:lang w:eastAsia="es-MX"/>
        </w:rPr>
        <w:t xml:space="preserve"> a la facultad establecida en el artículo 204 fracción IV del Reglamento del Gobierno y de la Administración Pública del H. Ayuntamiento Constitucional de San Pedro Tlaquepaque que en forma especifica establece como una de las atribuciones de la Dirección Jurídica de Obras Públicas:</w:t>
      </w:r>
    </w:p>
    <w:p w:rsidR="00CC4AB1" w:rsidRPr="00CC4AB1" w:rsidRDefault="00CC4AB1" w:rsidP="00CC4AB1">
      <w:pPr>
        <w:spacing w:line="360" w:lineRule="auto"/>
        <w:ind w:firstLine="1418"/>
        <w:jc w:val="both"/>
        <w:rPr>
          <w:rFonts w:ascii="Arial" w:hAnsi="Arial" w:cs="Arial"/>
          <w:noProof/>
          <w:sz w:val="24"/>
          <w:szCs w:val="24"/>
          <w:lang w:eastAsia="es-MX"/>
        </w:rPr>
      </w:pPr>
      <w:bookmarkStart w:id="0" w:name="_GoBack"/>
      <w:bookmarkEnd w:id="0"/>
    </w:p>
    <w:p w:rsidR="006C3999" w:rsidRPr="00326D13" w:rsidRDefault="006C3999" w:rsidP="006C3999">
      <w:pPr>
        <w:spacing w:line="360" w:lineRule="auto"/>
        <w:ind w:left="1134" w:right="1134"/>
        <w:jc w:val="both"/>
        <w:rPr>
          <w:rFonts w:ascii="Arial" w:hAnsi="Arial" w:cs="Arial"/>
          <w:b/>
          <w:i/>
          <w:sz w:val="24"/>
          <w:szCs w:val="24"/>
        </w:rPr>
      </w:pPr>
      <w:r w:rsidRPr="00326D13">
        <w:rPr>
          <w:rFonts w:ascii="Arial" w:hAnsi="Arial" w:cs="Arial"/>
          <w:b/>
          <w:i/>
          <w:sz w:val="24"/>
          <w:szCs w:val="24"/>
        </w:rPr>
        <w:t>IV.</w:t>
      </w:r>
      <w:r w:rsidRPr="00326D13">
        <w:rPr>
          <w:rFonts w:ascii="Arial" w:hAnsi="Arial" w:cs="Arial"/>
          <w:i/>
          <w:sz w:val="24"/>
          <w:szCs w:val="24"/>
        </w:rPr>
        <w:t xml:space="preserve"> Dar trámite a los procedimientos de demolición cuando una construcción ha afectado espacios públicos o privados,…..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</w:t>
      </w:r>
      <w:r w:rsidRPr="00326D13">
        <w:rPr>
          <w:rFonts w:ascii="Arial" w:hAnsi="Arial" w:cs="Arial"/>
          <w:noProof/>
          <w:sz w:val="24"/>
          <w:szCs w:val="24"/>
          <w:lang w:eastAsia="es-MX"/>
        </w:rPr>
        <w:t xml:space="preserve">Se ejecutaron 4 demoliciones de procedimientos iniciados en administraciones anteriores, cuyas características se sitúan en el inciso antes transcrito, toda vez que las construcciones </w:t>
      </w:r>
    </w:p>
    <w:p w:rsidR="006C3999" w:rsidRPr="00326D13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6D13">
        <w:rPr>
          <w:rFonts w:ascii="Arial" w:hAnsi="Arial" w:cs="Arial"/>
          <w:noProof/>
          <w:sz w:val="24"/>
          <w:szCs w:val="24"/>
          <w:lang w:eastAsia="es-MX"/>
        </w:rPr>
        <w:t>se encontraban invadiendo via pública, o espacios no construibles que afectaban gravemente a los vecinos por su ubicación, privandolos de derechos fundamentales como luz y aire en sus viviendas, amenazando su seguridad e integridad física debido a  su f</w:t>
      </w:r>
      <w:r>
        <w:rPr>
          <w:rFonts w:ascii="Arial" w:hAnsi="Arial" w:cs="Arial"/>
          <w:noProof/>
          <w:sz w:val="24"/>
          <w:szCs w:val="24"/>
          <w:lang w:eastAsia="es-MX"/>
        </w:rPr>
        <w:t>orma de contrucción y ubicación</w:t>
      </w:r>
      <w:r w:rsidRPr="00326D13">
        <w:rPr>
          <w:rFonts w:ascii="Arial" w:hAnsi="Arial" w:cs="Arial"/>
          <w:b/>
          <w:sz w:val="24"/>
          <w:szCs w:val="24"/>
        </w:rPr>
        <w:t>.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Dando continuidad a las funciones legales que esta Dirección realiza en coordinación con las dependencias de este H. Ayuntamiento Constitucional de San Pedro Tlaquepaque, que son llamadas a juicio.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Pr="00BF6CEF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Existe </w:t>
      </w:r>
      <w:r w:rsidRPr="00BF6CEF"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Compromiso de la Dirección General Jurídica para participar en</w:t>
      </w:r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consolidación de las Unidades de Género del Gobierno Municipal de San Pedro Tlaquepaque, con base al Movimiento y Campaña</w:t>
      </w:r>
      <w:r w:rsidRPr="00BF6CE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She</w:t>
      </w:r>
      <w:proofErr w:type="spellEnd"/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impulsada por ONU Mujeres, Entidad de las Naciones Unidas para la Igualdad de Género y el Empoderamiento de las Mujeres. Siendo un acto concordante al Acuerdo Municipal firmado por las Coordinaciones Generales y nuestra Presidenta Municipal, para la </w:t>
      </w:r>
      <w:proofErr w:type="spellStart"/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Transversalización</w:t>
      </w:r>
      <w:proofErr w:type="spellEnd"/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Perspectiva de Género en la Administración Pública Municipal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participando  el colegiado de abogados activamente en las capacitaciones y conferencias previamente agendadas por el Instituto de las Mujeres, en los días, fechas y sedes que  señala el  Instituto de referencia.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Sin otro particular por el momento 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C3999" w:rsidRDefault="006C3999" w:rsidP="006C3999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999" w:rsidRPr="00FD2184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6C3999" w:rsidRPr="00FD2184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SAN PEDRO TLAQUEPAQUE, JALISCO 27 DE MARZO DEL 2017</w:t>
      </w:r>
    </w:p>
    <w:p w:rsidR="006C3999" w:rsidRPr="00FD2184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LIC. JESÚS MÉNDEZ RODRÍGUEZ</w:t>
      </w:r>
    </w:p>
    <w:p w:rsidR="006C3999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DIRECTOR GENERAL JURÍDICO</w:t>
      </w:r>
    </w:p>
    <w:p w:rsidR="006C3999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SE ANEXA FORMATOS 3 y 4 DE CADA UNA DE LAS ÁREAS. </w:t>
      </w:r>
    </w:p>
    <w:p w:rsidR="006C3999" w:rsidRDefault="006C3999" w:rsidP="006C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>.- Lic. María Isela Vázquez Espinoza.- Directora de Seguimiento y Evaluación de la Dirección General de Políticas Públicas.-Para su conocimiento</w:t>
      </w:r>
    </w:p>
    <w:p w:rsidR="006C3999" w:rsidRDefault="006C3999" w:rsidP="006C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>.- Lic. Daniela Becerra Soto.- Directora de Jurídico de Obras Públicas.- Para su conocimiento.</w:t>
      </w:r>
    </w:p>
    <w:p w:rsidR="006C3999" w:rsidRDefault="006C3999" w:rsidP="006C39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>.- Lic. Sergio Alejandro García Gómez.- Jefe del Área de Siniestros.- Para su conocimiento</w:t>
      </w: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JMR/</w:t>
      </w:r>
      <w:proofErr w:type="spellStart"/>
      <w:r>
        <w:rPr>
          <w:rFonts w:ascii="Arial" w:hAnsi="Arial" w:cs="Arial"/>
          <w:sz w:val="24"/>
          <w:szCs w:val="24"/>
        </w:rPr>
        <w:t>rgr</w:t>
      </w:r>
      <w:proofErr w:type="spellEnd"/>
    </w:p>
    <w:p w:rsidR="006C3999" w:rsidRDefault="006C3999" w:rsidP="006C39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99" w:rsidRDefault="006C3999" w:rsidP="006C39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99" w:rsidRPr="00C72AB8" w:rsidRDefault="006C3999" w:rsidP="006C39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1E5C" w:rsidRDefault="00621E5C"/>
    <w:sectPr w:rsidR="00621E5C" w:rsidSect="006C3999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6A" w:rsidRDefault="008F666A" w:rsidP="006C3999">
      <w:pPr>
        <w:spacing w:after="0" w:line="240" w:lineRule="auto"/>
      </w:pPr>
      <w:r>
        <w:separator/>
      </w:r>
    </w:p>
  </w:endnote>
  <w:endnote w:type="continuationSeparator" w:id="0">
    <w:p w:rsidR="008F666A" w:rsidRDefault="008F666A" w:rsidP="006C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FOTT+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6A" w:rsidRDefault="008F666A" w:rsidP="006C3999">
      <w:pPr>
        <w:spacing w:after="0" w:line="240" w:lineRule="auto"/>
      </w:pPr>
      <w:r>
        <w:separator/>
      </w:r>
    </w:p>
  </w:footnote>
  <w:footnote w:type="continuationSeparator" w:id="0">
    <w:p w:rsidR="008F666A" w:rsidRDefault="008F666A" w:rsidP="006C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9" w:rsidRDefault="006C3999" w:rsidP="006C3999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CF60547">
          <wp:extent cx="1499870" cy="12496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9"/>
    <w:rsid w:val="00621E5C"/>
    <w:rsid w:val="006C3999"/>
    <w:rsid w:val="008F666A"/>
    <w:rsid w:val="00C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18493-F3B8-4A3C-BC85-7C1FF88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3999"/>
    <w:rPr>
      <w:b/>
      <w:bCs/>
    </w:rPr>
  </w:style>
  <w:style w:type="character" w:customStyle="1" w:styleId="apple-converted-space">
    <w:name w:val="apple-converted-space"/>
    <w:basedOn w:val="Fuentedeprrafopredeter"/>
    <w:rsid w:val="006C3999"/>
  </w:style>
  <w:style w:type="character" w:styleId="nfasis">
    <w:name w:val="Emphasis"/>
    <w:basedOn w:val="Fuentedeprrafopredeter"/>
    <w:uiPriority w:val="20"/>
    <w:qFormat/>
    <w:rsid w:val="006C399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C3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999"/>
  </w:style>
  <w:style w:type="paragraph" w:styleId="Piedepgina">
    <w:name w:val="footer"/>
    <w:basedOn w:val="Normal"/>
    <w:link w:val="PiedepginaCar"/>
    <w:uiPriority w:val="99"/>
    <w:unhideWhenUsed/>
    <w:rsid w:val="006C3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1800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Gonzalez Romero</dc:creator>
  <cp:keywords/>
  <dc:description/>
  <cp:lastModifiedBy>Rita Gonzalez Romero</cp:lastModifiedBy>
  <cp:revision>2</cp:revision>
  <dcterms:created xsi:type="dcterms:W3CDTF">2017-03-31T17:23:00Z</dcterms:created>
  <dcterms:modified xsi:type="dcterms:W3CDTF">2017-03-31T17:48:00Z</dcterms:modified>
</cp:coreProperties>
</file>