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4E2C4E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4E2C4E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3C0F80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1E68B1">
        <w:rPr>
          <w:rFonts w:ascii="Arial" w:hAnsi="Arial" w:cs="Arial"/>
          <w:sz w:val="22"/>
          <w:szCs w:val="22"/>
        </w:rPr>
        <w:t>ndido  Enero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1E68B1">
        <w:rPr>
          <w:rFonts w:ascii="Arial" w:hAnsi="Arial" w:cs="Arial"/>
          <w:sz w:val="22"/>
          <w:szCs w:val="22"/>
        </w:rPr>
        <w:t>2020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B947E6" w:rsidP="007F06D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"SAN PEDRO TLAQUEPAQUE</w:t>
      </w:r>
      <w:r w:rsidR="007F06D5" w:rsidRPr="007F06D5">
        <w:rPr>
          <w:rFonts w:ascii="Arial" w:hAnsi="Arial" w:cs="Arial"/>
          <w:b/>
          <w:color w:val="000000"/>
          <w:sz w:val="20"/>
          <w:szCs w:val="20"/>
        </w:rPr>
        <w:t>".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EC238E" w:rsidRPr="007F06D5" w:rsidRDefault="00EC238E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B947E6">
        <w:rPr>
          <w:rFonts w:ascii="Arial" w:eastAsiaTheme="minorHAnsi" w:hAnsi="Arial" w:cs="Arial"/>
          <w:b/>
          <w:sz w:val="22"/>
          <w:szCs w:val="22"/>
        </w:rPr>
        <w:t>ULTAS REALIZADAS DE ENERO 2020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>e la consolidación del sistema Ú</w:t>
      </w:r>
      <w:r w:rsidR="00093AD9" w:rsidRPr="007D4D3A">
        <w:rPr>
          <w:rFonts w:ascii="Arial" w:hAnsi="Arial" w:cs="Arial"/>
          <w:sz w:val="22"/>
          <w:szCs w:val="22"/>
        </w:rPr>
        <w:t>nico</w:t>
      </w:r>
      <w:r w:rsidRPr="007D4D3A">
        <w:rPr>
          <w:rFonts w:ascii="Arial" w:hAnsi="Arial" w:cs="Arial"/>
          <w:sz w:val="22"/>
          <w:szCs w:val="22"/>
        </w:rPr>
        <w:t xml:space="preserve"> </w:t>
      </w:r>
      <w:r w:rsidR="00093AD9">
        <w:rPr>
          <w:rFonts w:ascii="Arial" w:hAnsi="Arial" w:cs="Arial"/>
          <w:sz w:val="22"/>
          <w:szCs w:val="22"/>
        </w:rPr>
        <w:t>de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en el mes de Enero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lastRenderedPageBreak/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A73F6B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A73F6B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C0172">
        <w:rPr>
          <w:rFonts w:ascii="Arial" w:hAnsi="Arial" w:cs="Arial"/>
        </w:rPr>
        <w:t>ulta a persona mes de Enero 2020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lastRenderedPageBreak/>
        <w:drawing>
          <wp:inline distT="0" distB="0" distL="0" distR="0" wp14:anchorId="313FEB1A" wp14:editId="7C2B06C1">
            <wp:extent cx="5295900" cy="3171825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4E2C4E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C0172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C0172" w:rsidP="00F21649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1355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61AD3" w:rsidRPr="00BE453A" w:rsidSect="00D37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50" w:rsidRDefault="00C20A50" w:rsidP="00EC6EE5">
      <w:r>
        <w:separator/>
      </w:r>
    </w:p>
  </w:endnote>
  <w:endnote w:type="continuationSeparator" w:id="0">
    <w:p w:rsidR="00C20A50" w:rsidRDefault="00C20A50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50" w:rsidRDefault="00C20A50" w:rsidP="00EC6EE5">
      <w:r>
        <w:separator/>
      </w:r>
    </w:p>
  </w:footnote>
  <w:footnote w:type="continuationSeparator" w:id="0">
    <w:p w:rsidR="00C20A50" w:rsidRDefault="00C20A50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015891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080/2020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>Tlaqu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epaque,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015891">
      <w:rPr>
        <w:rFonts w:ascii="Century Gothic" w:hAnsi="Century Gothic" w:cs="Arial"/>
        <w:color w:val="000000"/>
        <w:sz w:val="22"/>
        <w:szCs w:val="22"/>
      </w:rPr>
      <w:t xml:space="preserve"> 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015891">
      <w:rPr>
        <w:rFonts w:ascii="Century Gothic" w:hAnsi="Century Gothic" w:cs="Arial"/>
        <w:color w:val="000000"/>
        <w:sz w:val="22"/>
        <w:szCs w:val="22"/>
      </w:rPr>
      <w:t xml:space="preserve"> Febrero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62" w:rsidRDefault="00322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891"/>
    <w:rsid w:val="0001593E"/>
    <w:rsid w:val="000159C9"/>
    <w:rsid w:val="0002121F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62FC"/>
    <w:rsid w:val="00163C06"/>
    <w:rsid w:val="001777F2"/>
    <w:rsid w:val="00185470"/>
    <w:rsid w:val="001976DC"/>
    <w:rsid w:val="001C1C1A"/>
    <w:rsid w:val="001E2F2A"/>
    <w:rsid w:val="001E68B1"/>
    <w:rsid w:val="001E6C1D"/>
    <w:rsid w:val="001F3752"/>
    <w:rsid w:val="00210B45"/>
    <w:rsid w:val="002171CD"/>
    <w:rsid w:val="0024478F"/>
    <w:rsid w:val="00282671"/>
    <w:rsid w:val="00282FD7"/>
    <w:rsid w:val="002A4D37"/>
    <w:rsid w:val="002B00C9"/>
    <w:rsid w:val="002C078A"/>
    <w:rsid w:val="002D777C"/>
    <w:rsid w:val="002E715D"/>
    <w:rsid w:val="0031018A"/>
    <w:rsid w:val="00322D62"/>
    <w:rsid w:val="003244FC"/>
    <w:rsid w:val="00335F4E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C6E"/>
    <w:rsid w:val="00453B8C"/>
    <w:rsid w:val="00461F19"/>
    <w:rsid w:val="00463042"/>
    <w:rsid w:val="004750A9"/>
    <w:rsid w:val="004834AE"/>
    <w:rsid w:val="00494E06"/>
    <w:rsid w:val="00495877"/>
    <w:rsid w:val="004D2EB8"/>
    <w:rsid w:val="004D37EE"/>
    <w:rsid w:val="004E2C4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C0172"/>
    <w:rsid w:val="005D6239"/>
    <w:rsid w:val="006273E4"/>
    <w:rsid w:val="0063278F"/>
    <w:rsid w:val="006409A6"/>
    <w:rsid w:val="00656EFA"/>
    <w:rsid w:val="00661AD3"/>
    <w:rsid w:val="0066422B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202E3"/>
    <w:rsid w:val="00765FEF"/>
    <w:rsid w:val="007664E3"/>
    <w:rsid w:val="0078681A"/>
    <w:rsid w:val="007A098B"/>
    <w:rsid w:val="007A41EC"/>
    <w:rsid w:val="007B2DB9"/>
    <w:rsid w:val="007B3E9B"/>
    <w:rsid w:val="007C6445"/>
    <w:rsid w:val="007D09D0"/>
    <w:rsid w:val="007D3C3D"/>
    <w:rsid w:val="007E4B72"/>
    <w:rsid w:val="007E51BA"/>
    <w:rsid w:val="007E781D"/>
    <w:rsid w:val="007F06D5"/>
    <w:rsid w:val="007F0F45"/>
    <w:rsid w:val="008304C9"/>
    <w:rsid w:val="00835484"/>
    <w:rsid w:val="00843303"/>
    <w:rsid w:val="00846608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60A38"/>
    <w:rsid w:val="00965A9E"/>
    <w:rsid w:val="00986329"/>
    <w:rsid w:val="0099472C"/>
    <w:rsid w:val="009A2324"/>
    <w:rsid w:val="009C10A0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771F"/>
    <w:rsid w:val="00A5234D"/>
    <w:rsid w:val="00A54753"/>
    <w:rsid w:val="00A73F6B"/>
    <w:rsid w:val="00A7546E"/>
    <w:rsid w:val="00A77B36"/>
    <w:rsid w:val="00A87014"/>
    <w:rsid w:val="00A91D2F"/>
    <w:rsid w:val="00AD2B88"/>
    <w:rsid w:val="00AE7A18"/>
    <w:rsid w:val="00AF4CE4"/>
    <w:rsid w:val="00B06ED9"/>
    <w:rsid w:val="00B27511"/>
    <w:rsid w:val="00B316ED"/>
    <w:rsid w:val="00B358D9"/>
    <w:rsid w:val="00B36D3C"/>
    <w:rsid w:val="00B40E29"/>
    <w:rsid w:val="00B43AEE"/>
    <w:rsid w:val="00B5076E"/>
    <w:rsid w:val="00B51375"/>
    <w:rsid w:val="00B60294"/>
    <w:rsid w:val="00B6436B"/>
    <w:rsid w:val="00B9473B"/>
    <w:rsid w:val="00B947E6"/>
    <w:rsid w:val="00B9613D"/>
    <w:rsid w:val="00BA1DB9"/>
    <w:rsid w:val="00BE5613"/>
    <w:rsid w:val="00BE6053"/>
    <w:rsid w:val="00C20A50"/>
    <w:rsid w:val="00C23AA3"/>
    <w:rsid w:val="00C31205"/>
    <w:rsid w:val="00C56758"/>
    <w:rsid w:val="00C65FE2"/>
    <w:rsid w:val="00C700AA"/>
    <w:rsid w:val="00C751FA"/>
    <w:rsid w:val="00C81E0E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37252"/>
    <w:rsid w:val="00D40BE1"/>
    <w:rsid w:val="00D4207E"/>
    <w:rsid w:val="00D5325C"/>
    <w:rsid w:val="00D56DA6"/>
    <w:rsid w:val="00D64DF5"/>
    <w:rsid w:val="00D66076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2250F"/>
    <w:rsid w:val="00E26197"/>
    <w:rsid w:val="00E331C0"/>
    <w:rsid w:val="00E4184C"/>
    <w:rsid w:val="00E47132"/>
    <w:rsid w:val="00E50F54"/>
    <w:rsid w:val="00E51035"/>
    <w:rsid w:val="00E602D0"/>
    <w:rsid w:val="00E761BD"/>
    <w:rsid w:val="00E8361E"/>
    <w:rsid w:val="00E83A51"/>
    <w:rsid w:val="00E93F6F"/>
    <w:rsid w:val="00E97597"/>
    <w:rsid w:val="00E978AB"/>
    <w:rsid w:val="00EB4477"/>
    <w:rsid w:val="00EB5DDD"/>
    <w:rsid w:val="00EC238E"/>
    <w:rsid w:val="00EC31CF"/>
    <w:rsid w:val="00EC3C57"/>
    <w:rsid w:val="00EC6EE5"/>
    <w:rsid w:val="00EE204C"/>
    <w:rsid w:val="00EF13F4"/>
    <w:rsid w:val="00F0332D"/>
    <w:rsid w:val="00F03A10"/>
    <w:rsid w:val="00F17874"/>
    <w:rsid w:val="00F21649"/>
    <w:rsid w:val="00F339E0"/>
    <w:rsid w:val="00F3435A"/>
    <w:rsid w:val="00F57238"/>
    <w:rsid w:val="00F6532E"/>
    <w:rsid w:val="00F725ED"/>
    <w:rsid w:val="00F7575B"/>
    <w:rsid w:val="00F75851"/>
    <w:rsid w:val="00F83174"/>
    <w:rsid w:val="00F863F9"/>
    <w:rsid w:val="00F879BE"/>
    <w:rsid w:val="00F90AB6"/>
    <w:rsid w:val="00F964DA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210195556541344E-2"/>
          <c:y val="4.6689697384664858E-2"/>
          <c:w val="0.89377947474875497"/>
          <c:h val="0.8328393140580747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5760072244490615E-2"/>
                  <c:y val="-5.7971014492753622E-4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3808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D26-4129-B308-EFD955F849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26-4129-B308-EFD955F84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878755263505749E-2"/>
          <c:y val="0.13056804836332395"/>
          <c:w val="0.8222424894729885"/>
          <c:h val="0.7869119513214001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A97-4D1D-828F-04F001427054}"/>
              </c:ext>
            </c:extLst>
          </c:dPt>
          <c:dLbls>
            <c:dLbl>
              <c:idx val="0"/>
              <c:layout>
                <c:manualLayout>
                  <c:x val="2.9244224330615917E-3"/>
                  <c:y val="-0.2915454955885616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3200"/>
                    </a:pPr>
                    <a:r>
                      <a:rPr lang="en-US" sz="32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1384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A97-4D1D-828F-04F0014270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7-4D1D-828F-04F001427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D64-4494-B1F8-5CB80F0500B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1355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64-4494-B1F8-5CB80F0500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64-4494-B1F8-5CB80F050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E889-BFA6-4E8A-809F-99F9EB8B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2020-02-05T18:34:00Z</cp:lastPrinted>
  <dcterms:created xsi:type="dcterms:W3CDTF">2020-02-07T18:51:00Z</dcterms:created>
  <dcterms:modified xsi:type="dcterms:W3CDTF">2020-02-07T18:51:00Z</dcterms:modified>
</cp:coreProperties>
</file>