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DDA" w:rsidRDefault="00633DDA" w:rsidP="00620CEC">
      <w:pPr>
        <w:jc w:val="right"/>
      </w:pPr>
    </w:p>
    <w:p w:rsidR="004C3B52" w:rsidRDefault="00620CEC" w:rsidP="00620CEC">
      <w:pPr>
        <w:jc w:val="right"/>
      </w:pPr>
      <w:r>
        <w:t>San Pedro Tlaquepaque a 02 de octubre del año 2019.</w:t>
      </w:r>
    </w:p>
    <w:p w:rsidR="00620CEC" w:rsidRDefault="00620CEC" w:rsidP="00620CEC">
      <w:pPr>
        <w:jc w:val="right"/>
      </w:pPr>
    </w:p>
    <w:p w:rsidR="00620CEC" w:rsidRDefault="00620CEC" w:rsidP="00620CEC"/>
    <w:p w:rsidR="007C4474" w:rsidRDefault="007C4474" w:rsidP="00620CEC">
      <w:pPr>
        <w:rPr>
          <w:b/>
          <w:bCs/>
        </w:rPr>
      </w:pPr>
    </w:p>
    <w:p w:rsidR="007C4474" w:rsidRDefault="007C4474" w:rsidP="00620CEC">
      <w:pPr>
        <w:rPr>
          <w:b/>
          <w:bCs/>
        </w:rPr>
      </w:pPr>
    </w:p>
    <w:p w:rsidR="00620CEC" w:rsidRDefault="00620CEC" w:rsidP="007C4474">
      <w:pPr>
        <w:jc w:val="center"/>
        <w:rPr>
          <w:b/>
          <w:bCs/>
        </w:rPr>
      </w:pPr>
      <w:r>
        <w:rPr>
          <w:b/>
          <w:bCs/>
        </w:rPr>
        <w:t>Integrantes de la Comisión Edilicia de Energía.</w:t>
      </w:r>
    </w:p>
    <w:p w:rsidR="000F2832" w:rsidRDefault="000F2832" w:rsidP="007C4474">
      <w:pPr>
        <w:jc w:val="center"/>
        <w:rPr>
          <w:b/>
          <w:bCs/>
        </w:rPr>
      </w:pPr>
    </w:p>
    <w:p w:rsidR="000F2832" w:rsidRDefault="000F2832" w:rsidP="007C4474">
      <w:pPr>
        <w:jc w:val="center"/>
        <w:rPr>
          <w:b/>
          <w:bCs/>
        </w:rPr>
      </w:pPr>
    </w:p>
    <w:p w:rsidR="00620CEC" w:rsidRDefault="00620CEC" w:rsidP="007C4474">
      <w:pPr>
        <w:jc w:val="center"/>
        <w:rPr>
          <w:b/>
          <w:bCs/>
        </w:rPr>
      </w:pPr>
    </w:p>
    <w:p w:rsidR="00620CEC" w:rsidRPr="000F2832" w:rsidRDefault="00620CEC" w:rsidP="007C4474">
      <w:pPr>
        <w:jc w:val="center"/>
        <w:rPr>
          <w:b/>
          <w:bCs/>
        </w:rPr>
      </w:pPr>
      <w:r w:rsidRPr="000F2832">
        <w:rPr>
          <w:b/>
          <w:bCs/>
        </w:rPr>
        <w:t xml:space="preserve">María Elena </w:t>
      </w:r>
      <w:r w:rsidR="00346352" w:rsidRPr="000F2832">
        <w:rPr>
          <w:b/>
          <w:bCs/>
        </w:rPr>
        <w:t>Limón</w:t>
      </w:r>
      <w:r w:rsidRPr="000F2832">
        <w:rPr>
          <w:b/>
          <w:bCs/>
        </w:rPr>
        <w:t xml:space="preserve"> García.</w:t>
      </w:r>
    </w:p>
    <w:p w:rsidR="00620CEC" w:rsidRDefault="000324AD" w:rsidP="007C4474">
      <w:pPr>
        <w:jc w:val="center"/>
      </w:pPr>
      <w:r>
        <w:t xml:space="preserve">Presidenta Municipal y </w:t>
      </w:r>
      <w:proofErr w:type="gramStart"/>
      <w:r w:rsidR="00620CEC">
        <w:t>Presidenta</w:t>
      </w:r>
      <w:proofErr w:type="gramEnd"/>
      <w:r w:rsidR="00620CEC">
        <w:t xml:space="preserve"> de la Comisión Edilicia de Energía</w:t>
      </w:r>
      <w:r w:rsidR="00346352">
        <w:t>.</w:t>
      </w:r>
    </w:p>
    <w:p w:rsidR="00620CEC" w:rsidRDefault="00620CEC" w:rsidP="007C4474">
      <w:pPr>
        <w:jc w:val="center"/>
      </w:pPr>
    </w:p>
    <w:p w:rsidR="00620CEC" w:rsidRDefault="00620CEC" w:rsidP="007C4474">
      <w:pPr>
        <w:jc w:val="center"/>
      </w:pPr>
    </w:p>
    <w:p w:rsidR="00620CEC" w:rsidRPr="000F2832" w:rsidRDefault="00620CEC" w:rsidP="007C4474">
      <w:pPr>
        <w:jc w:val="center"/>
        <w:rPr>
          <w:b/>
          <w:bCs/>
        </w:rPr>
      </w:pPr>
    </w:p>
    <w:p w:rsidR="00620CEC" w:rsidRPr="000F2832" w:rsidRDefault="00620CEC" w:rsidP="007C4474">
      <w:pPr>
        <w:jc w:val="center"/>
        <w:rPr>
          <w:b/>
          <w:bCs/>
        </w:rPr>
      </w:pPr>
      <w:r w:rsidRPr="000F2832">
        <w:rPr>
          <w:b/>
          <w:bCs/>
        </w:rPr>
        <w:t>Betsabé Dolores Almaguer Esparza.</w:t>
      </w:r>
    </w:p>
    <w:p w:rsidR="00620CEC" w:rsidRDefault="00620CEC" w:rsidP="007C4474">
      <w:pPr>
        <w:jc w:val="center"/>
      </w:pPr>
      <w:r>
        <w:t>Regidor</w:t>
      </w:r>
      <w:r w:rsidR="000324AD">
        <w:t>a</w:t>
      </w:r>
      <w:r>
        <w:t xml:space="preserve"> y Vocal de la Comisión Edilicia de Energía.</w:t>
      </w:r>
    </w:p>
    <w:p w:rsidR="00620CEC" w:rsidRDefault="00620CEC" w:rsidP="007C4474">
      <w:pPr>
        <w:jc w:val="center"/>
      </w:pPr>
    </w:p>
    <w:p w:rsidR="00620CEC" w:rsidRDefault="00620CEC" w:rsidP="007C4474">
      <w:pPr>
        <w:jc w:val="center"/>
      </w:pPr>
    </w:p>
    <w:p w:rsidR="00620CEC" w:rsidRPr="000F2832" w:rsidRDefault="00620CEC" w:rsidP="007C4474">
      <w:pPr>
        <w:jc w:val="center"/>
        <w:rPr>
          <w:b/>
          <w:bCs/>
        </w:rPr>
      </w:pPr>
      <w:r w:rsidRPr="000F2832">
        <w:rPr>
          <w:b/>
          <w:bCs/>
        </w:rPr>
        <w:t>José Luis Figueroa Meza.</w:t>
      </w:r>
    </w:p>
    <w:p w:rsidR="00620CEC" w:rsidRDefault="00620CEC" w:rsidP="007C4474">
      <w:pPr>
        <w:jc w:val="center"/>
      </w:pPr>
      <w:r>
        <w:t>Regidor y Vocal de la Comisión Edilicia de Energía.</w:t>
      </w:r>
    </w:p>
    <w:p w:rsidR="00620CEC" w:rsidRDefault="00620CEC" w:rsidP="007C4474">
      <w:pPr>
        <w:jc w:val="center"/>
      </w:pPr>
    </w:p>
    <w:p w:rsidR="00F5538B" w:rsidRDefault="00F5538B" w:rsidP="007C4474">
      <w:pPr>
        <w:jc w:val="center"/>
      </w:pPr>
    </w:p>
    <w:p w:rsidR="00F5538B" w:rsidRDefault="00F5538B" w:rsidP="00620CEC"/>
    <w:p w:rsidR="00F5538B" w:rsidRDefault="00F5538B" w:rsidP="00620CEC"/>
    <w:p w:rsidR="00F5538B" w:rsidRDefault="00F5538B" w:rsidP="00620CEC"/>
    <w:p w:rsidR="00F5538B" w:rsidRDefault="00F5538B" w:rsidP="00620CEC"/>
    <w:p w:rsidR="00620CEC" w:rsidRDefault="00620CEC" w:rsidP="00620CEC">
      <w:pPr>
        <w:rPr>
          <w:b/>
          <w:bCs/>
        </w:rPr>
      </w:pPr>
      <w:r w:rsidRPr="00620CEC">
        <w:rPr>
          <w:b/>
          <w:bCs/>
        </w:rPr>
        <w:lastRenderedPageBreak/>
        <w:t>Fundamento Legal.</w:t>
      </w:r>
    </w:p>
    <w:p w:rsidR="00620CEC" w:rsidRDefault="00620CEC" w:rsidP="00620CEC">
      <w:pPr>
        <w:rPr>
          <w:b/>
          <w:bCs/>
        </w:rPr>
      </w:pPr>
    </w:p>
    <w:p w:rsidR="00620CEC" w:rsidRPr="00620CEC" w:rsidRDefault="00F5538B" w:rsidP="00620CEC">
      <w:pPr>
        <w:pStyle w:val="Prrafodelista"/>
        <w:numPr>
          <w:ilvl w:val="0"/>
          <w:numId w:val="1"/>
        </w:numPr>
        <w:rPr>
          <w:b/>
          <w:bCs/>
        </w:rPr>
      </w:pPr>
      <w:r>
        <w:t>Artículo</w:t>
      </w:r>
      <w:r w:rsidR="00620CEC">
        <w:t xml:space="preserve"> 115 de la Constitución Política de los Estados Unidos Mexicanos.</w:t>
      </w:r>
    </w:p>
    <w:p w:rsidR="00620CEC" w:rsidRPr="00620CEC" w:rsidRDefault="00620CEC" w:rsidP="00620CEC">
      <w:pPr>
        <w:pStyle w:val="Prrafodelista"/>
        <w:rPr>
          <w:b/>
          <w:bCs/>
        </w:rPr>
      </w:pPr>
    </w:p>
    <w:p w:rsidR="00620CEC" w:rsidRPr="00620CEC" w:rsidRDefault="00F5538B" w:rsidP="00620CEC">
      <w:pPr>
        <w:pStyle w:val="Prrafodelista"/>
        <w:numPr>
          <w:ilvl w:val="0"/>
          <w:numId w:val="1"/>
        </w:numPr>
        <w:rPr>
          <w:b/>
          <w:bCs/>
        </w:rPr>
      </w:pPr>
      <w:r>
        <w:t>Artículo</w:t>
      </w:r>
      <w:r w:rsidR="00620CEC">
        <w:t xml:space="preserve"> 73 de la Constitución Política del Estado de Jalisco.</w:t>
      </w:r>
    </w:p>
    <w:p w:rsidR="00620CEC" w:rsidRPr="00620CEC" w:rsidRDefault="00620CEC" w:rsidP="00620CEC">
      <w:pPr>
        <w:pStyle w:val="Prrafodelista"/>
        <w:rPr>
          <w:b/>
          <w:bCs/>
        </w:rPr>
      </w:pPr>
    </w:p>
    <w:p w:rsidR="00620CEC" w:rsidRPr="00346352" w:rsidRDefault="00346352" w:rsidP="00620CEC">
      <w:pPr>
        <w:pStyle w:val="Prrafodelista"/>
        <w:numPr>
          <w:ilvl w:val="0"/>
          <w:numId w:val="1"/>
        </w:numPr>
        <w:rPr>
          <w:b/>
          <w:bCs/>
        </w:rPr>
      </w:pPr>
      <w:r>
        <w:t>Artículos 27 y 50 de la Ley del Gobierno y de la Administración Pública del Estado de Jalisco y sus Municipios.</w:t>
      </w:r>
    </w:p>
    <w:p w:rsidR="00346352" w:rsidRPr="00346352" w:rsidRDefault="00346352" w:rsidP="00346352">
      <w:pPr>
        <w:pStyle w:val="Prrafodelista"/>
        <w:rPr>
          <w:b/>
          <w:bCs/>
        </w:rPr>
      </w:pPr>
    </w:p>
    <w:p w:rsidR="00346352" w:rsidRPr="00346352" w:rsidRDefault="00346352" w:rsidP="00620CEC">
      <w:pPr>
        <w:pStyle w:val="Prrafodelista"/>
        <w:numPr>
          <w:ilvl w:val="0"/>
          <w:numId w:val="1"/>
        </w:numPr>
        <w:rPr>
          <w:b/>
          <w:bCs/>
        </w:rPr>
      </w:pPr>
      <w:r>
        <w:t>Artículos 92 fracción XXX y 122</w:t>
      </w:r>
      <w:r w:rsidR="000324AD">
        <w:t xml:space="preserve"> bis</w:t>
      </w:r>
      <w:r>
        <w:t xml:space="preserve"> del Reglamento del Gobierno y de la Administración Pública del Ayuntamiento Constitucional de San Pedro Tlaquepaque.</w:t>
      </w:r>
    </w:p>
    <w:p w:rsidR="00346352" w:rsidRPr="00346352" w:rsidRDefault="00346352" w:rsidP="00346352">
      <w:pPr>
        <w:pStyle w:val="Prrafodelista"/>
        <w:rPr>
          <w:b/>
          <w:bCs/>
        </w:rPr>
      </w:pPr>
    </w:p>
    <w:p w:rsidR="00346352" w:rsidRDefault="00346352" w:rsidP="00346352">
      <w:pPr>
        <w:rPr>
          <w:b/>
          <w:bCs/>
        </w:rPr>
      </w:pPr>
    </w:p>
    <w:p w:rsidR="00346352" w:rsidRDefault="00346352" w:rsidP="00346352">
      <w:pPr>
        <w:ind w:left="360"/>
        <w:rPr>
          <w:b/>
          <w:bCs/>
        </w:rPr>
      </w:pPr>
      <w:r>
        <w:rPr>
          <w:b/>
          <w:bCs/>
        </w:rPr>
        <w:t>Objetivo General.</w:t>
      </w:r>
    </w:p>
    <w:p w:rsidR="00863066" w:rsidRDefault="00863066" w:rsidP="00346352">
      <w:pPr>
        <w:ind w:left="360"/>
        <w:rPr>
          <w:b/>
          <w:bCs/>
        </w:rPr>
      </w:pPr>
    </w:p>
    <w:p w:rsidR="00346352" w:rsidRDefault="00346352" w:rsidP="00346352">
      <w:pPr>
        <w:ind w:left="360"/>
      </w:pPr>
      <w:r>
        <w:t>Presentar Iniciativas de instrumentos regulatorios y dictámenes que sean necesarios para el fortalecimiento del gobierno, la administración y la gestión pública municipal en relación con la energía y acorde a lo dispuesto por el Reglamento del Gobierno y de la Administración Pública del Ayuntamiento Constitucional de San Pedro Tlaquepaque.</w:t>
      </w:r>
    </w:p>
    <w:p w:rsidR="00346352" w:rsidRDefault="00346352" w:rsidP="00346352">
      <w:pPr>
        <w:ind w:left="360"/>
      </w:pPr>
    </w:p>
    <w:p w:rsidR="00346352" w:rsidRDefault="00346352" w:rsidP="00346352">
      <w:pPr>
        <w:ind w:left="360"/>
      </w:pPr>
    </w:p>
    <w:p w:rsidR="00660783" w:rsidRDefault="00346352" w:rsidP="001B47B7">
      <w:pPr>
        <w:ind w:left="360"/>
        <w:rPr>
          <w:b/>
          <w:bCs/>
        </w:rPr>
      </w:pPr>
      <w:r w:rsidRPr="00346352">
        <w:rPr>
          <w:b/>
          <w:bCs/>
        </w:rPr>
        <w:t>Objetivos Específicos.</w:t>
      </w:r>
    </w:p>
    <w:p w:rsidR="001B47B7" w:rsidRDefault="001B47B7" w:rsidP="001B47B7">
      <w:pPr>
        <w:ind w:left="360"/>
        <w:rPr>
          <w:b/>
          <w:bCs/>
        </w:rPr>
      </w:pPr>
    </w:p>
    <w:p w:rsidR="001B47B7" w:rsidRPr="001B47B7" w:rsidRDefault="001B47B7" w:rsidP="001B47B7">
      <w:pPr>
        <w:ind w:left="360"/>
      </w:pPr>
      <w:r w:rsidRPr="001B47B7">
        <w:rPr>
          <w:b/>
          <w:bCs/>
        </w:rPr>
        <w:t>I.-</w:t>
      </w:r>
      <w:r w:rsidRPr="001B47B7">
        <w:t>Planear, elaborar y programar políticas públicas encaminadas a la concientización acerca de la administración, regulación y control de la energía eléctrica, combustibles y gas en la municipalidad;</w:t>
      </w:r>
    </w:p>
    <w:p w:rsidR="001B47B7" w:rsidRPr="001B47B7" w:rsidRDefault="001B47B7" w:rsidP="001B47B7">
      <w:pPr>
        <w:ind w:left="360"/>
        <w:rPr>
          <w:b/>
          <w:bCs/>
        </w:rPr>
      </w:pPr>
    </w:p>
    <w:p w:rsidR="001B47B7" w:rsidRPr="001B47B7" w:rsidRDefault="001B47B7" w:rsidP="001B47B7">
      <w:pPr>
        <w:ind w:left="360"/>
        <w:rPr>
          <w:b/>
          <w:bCs/>
        </w:rPr>
      </w:pPr>
      <w:r w:rsidRPr="001B47B7">
        <w:rPr>
          <w:b/>
          <w:bCs/>
        </w:rPr>
        <w:t>II.-</w:t>
      </w:r>
      <w:r w:rsidRPr="001B47B7">
        <w:t>Proponer medidas y programas de ahorro de energía eléctrica, gasolina, diesel y gas que se consume en las dependencias de la Administración Pública Municipal;</w:t>
      </w:r>
    </w:p>
    <w:p w:rsidR="001B47B7" w:rsidRPr="001B47B7" w:rsidRDefault="001B47B7" w:rsidP="001B47B7">
      <w:pPr>
        <w:ind w:left="360"/>
        <w:rPr>
          <w:b/>
          <w:bCs/>
        </w:rPr>
      </w:pPr>
    </w:p>
    <w:p w:rsidR="001B47B7" w:rsidRPr="001B47B7" w:rsidRDefault="001B47B7" w:rsidP="001B47B7">
      <w:pPr>
        <w:ind w:left="360"/>
        <w:rPr>
          <w:b/>
          <w:bCs/>
        </w:rPr>
      </w:pPr>
      <w:r w:rsidRPr="001B47B7">
        <w:rPr>
          <w:b/>
          <w:bCs/>
        </w:rPr>
        <w:lastRenderedPageBreak/>
        <w:t>III.-</w:t>
      </w:r>
      <w:r w:rsidRPr="001B47B7">
        <w:t>Proponer y dictaminar las iniciativas que en la materia sean sometidas a consideración del Ayuntamiento;</w:t>
      </w:r>
    </w:p>
    <w:p w:rsidR="001B47B7" w:rsidRPr="001B47B7" w:rsidRDefault="001B47B7" w:rsidP="001B47B7">
      <w:pPr>
        <w:ind w:left="360"/>
        <w:rPr>
          <w:b/>
          <w:bCs/>
        </w:rPr>
      </w:pPr>
    </w:p>
    <w:p w:rsidR="001B47B7" w:rsidRPr="001B47B7" w:rsidRDefault="001B47B7" w:rsidP="001B47B7">
      <w:pPr>
        <w:ind w:left="360"/>
      </w:pPr>
      <w:r w:rsidRPr="001B47B7">
        <w:rPr>
          <w:b/>
          <w:bCs/>
        </w:rPr>
        <w:t>IV.-</w:t>
      </w:r>
      <w:r>
        <w:t>P</w:t>
      </w:r>
      <w:r w:rsidRPr="001B47B7">
        <w:t>roponer medidas, planes y proyectos para la realización de acciones o estudios necesarios para el mejoramiento y fortalecimiento del Ayuntamiento en materia de ahorro y administración de la energía eléctrica, gasolina, diesel y gas;</w:t>
      </w:r>
    </w:p>
    <w:p w:rsidR="001B47B7" w:rsidRPr="001B47B7" w:rsidRDefault="001B47B7" w:rsidP="001B47B7">
      <w:pPr>
        <w:ind w:left="360"/>
        <w:rPr>
          <w:b/>
          <w:bCs/>
        </w:rPr>
      </w:pPr>
    </w:p>
    <w:p w:rsidR="001B47B7" w:rsidRPr="001B47B7" w:rsidRDefault="001B47B7" w:rsidP="001B47B7">
      <w:pPr>
        <w:ind w:left="360"/>
      </w:pPr>
      <w:r w:rsidRPr="001B47B7">
        <w:rPr>
          <w:b/>
          <w:bCs/>
        </w:rPr>
        <w:t>V.-</w:t>
      </w:r>
      <w:r w:rsidRPr="001B47B7">
        <w:t>Velar por el uso eficiente y eficaz de los recursos energéticos empleados por las dependencias del Ayuntamiento;</w:t>
      </w:r>
    </w:p>
    <w:p w:rsidR="001B47B7" w:rsidRPr="001B47B7" w:rsidRDefault="001B47B7" w:rsidP="001B47B7">
      <w:pPr>
        <w:ind w:left="360"/>
        <w:rPr>
          <w:b/>
          <w:bCs/>
        </w:rPr>
      </w:pPr>
    </w:p>
    <w:p w:rsidR="001B47B7" w:rsidRPr="001B47B7" w:rsidRDefault="001B47B7" w:rsidP="001B47B7">
      <w:pPr>
        <w:ind w:left="360"/>
        <w:rPr>
          <w:b/>
          <w:bCs/>
        </w:rPr>
      </w:pPr>
      <w:r w:rsidRPr="001B47B7">
        <w:rPr>
          <w:b/>
          <w:bCs/>
        </w:rPr>
        <w:t xml:space="preserve">VI.- </w:t>
      </w:r>
      <w:r w:rsidRPr="001B47B7">
        <w:t>Proponer medidas y programas que contribuyan en la preservación y mejoramiento del medio ambiente ante el arribo de obras eléctricas y/o instalaciones de explotación de energía;</w:t>
      </w:r>
    </w:p>
    <w:p w:rsidR="001B47B7" w:rsidRPr="001B47B7" w:rsidRDefault="001B47B7" w:rsidP="001B47B7">
      <w:pPr>
        <w:ind w:left="360"/>
        <w:rPr>
          <w:b/>
          <w:bCs/>
        </w:rPr>
      </w:pPr>
    </w:p>
    <w:p w:rsidR="001B47B7" w:rsidRPr="001B47B7" w:rsidRDefault="001B47B7" w:rsidP="001B47B7">
      <w:pPr>
        <w:ind w:left="360"/>
        <w:rPr>
          <w:b/>
          <w:bCs/>
        </w:rPr>
      </w:pPr>
      <w:r w:rsidRPr="001B47B7">
        <w:rPr>
          <w:b/>
          <w:bCs/>
        </w:rPr>
        <w:t xml:space="preserve">VII.- </w:t>
      </w:r>
      <w:r w:rsidRPr="001B47B7">
        <w:t>Velar por la innovación permanente de tecnologías en materia de energía eléctrica y uso de combustibles;</w:t>
      </w:r>
    </w:p>
    <w:p w:rsidR="001B47B7" w:rsidRPr="001B47B7" w:rsidRDefault="001B47B7" w:rsidP="001B47B7">
      <w:pPr>
        <w:ind w:left="360"/>
        <w:rPr>
          <w:b/>
          <w:bCs/>
        </w:rPr>
      </w:pPr>
    </w:p>
    <w:p w:rsidR="001B47B7" w:rsidRPr="001B47B7" w:rsidRDefault="001B47B7" w:rsidP="001B47B7">
      <w:pPr>
        <w:ind w:left="360"/>
      </w:pPr>
      <w:r w:rsidRPr="001B47B7">
        <w:rPr>
          <w:b/>
          <w:bCs/>
        </w:rPr>
        <w:t xml:space="preserve">VIII.- </w:t>
      </w:r>
      <w:r w:rsidRPr="001B47B7">
        <w:t>Elaborar iniciativas encaminadas a encontrar el uso de energías sustentables que permitan el ahorro y sean permisibles conforme a lo que estipule el estado y la federación en materia de energía;</w:t>
      </w:r>
    </w:p>
    <w:p w:rsidR="001B47B7" w:rsidRPr="001B47B7" w:rsidRDefault="001B47B7" w:rsidP="001B47B7">
      <w:pPr>
        <w:ind w:left="360"/>
        <w:rPr>
          <w:b/>
          <w:bCs/>
        </w:rPr>
      </w:pPr>
    </w:p>
    <w:p w:rsidR="001B47B7" w:rsidRPr="001B47B7" w:rsidRDefault="001B47B7" w:rsidP="001B47B7">
      <w:pPr>
        <w:ind w:left="360"/>
        <w:rPr>
          <w:b/>
          <w:bCs/>
          <w:lang w:val="es-ES"/>
        </w:rPr>
      </w:pPr>
      <w:r w:rsidRPr="001B47B7">
        <w:rPr>
          <w:b/>
          <w:bCs/>
        </w:rPr>
        <w:t xml:space="preserve">IX.- </w:t>
      </w:r>
      <w:r w:rsidRPr="001B47B7">
        <w:t>Informar, asesorar y recomendar al</w:t>
      </w:r>
      <w:r>
        <w:t xml:space="preserve"> municipio</w:t>
      </w:r>
      <w:r w:rsidRPr="001B47B7">
        <w:t xml:space="preserve"> proyectos y negocios energéticos convenientes para el Municipio;</w:t>
      </w:r>
    </w:p>
    <w:p w:rsidR="00743C0F" w:rsidRDefault="00743C0F" w:rsidP="00743C0F">
      <w:pPr>
        <w:pStyle w:val="Prrafodelista"/>
      </w:pPr>
    </w:p>
    <w:p w:rsidR="00633DDA" w:rsidRDefault="00633DDA" w:rsidP="00743C0F">
      <w:pPr>
        <w:pStyle w:val="Prrafodelista"/>
      </w:pPr>
    </w:p>
    <w:tbl>
      <w:tblPr>
        <w:tblStyle w:val="Tablaconcuadrcula"/>
        <w:tblW w:w="15451" w:type="dxa"/>
        <w:tblInd w:w="-147" w:type="dxa"/>
        <w:tblLook w:val="04A0" w:firstRow="1" w:lastRow="0" w:firstColumn="1" w:lastColumn="0" w:noHBand="0" w:noVBand="1"/>
      </w:tblPr>
      <w:tblGrid>
        <w:gridCol w:w="1148"/>
        <w:gridCol w:w="754"/>
        <w:gridCol w:w="759"/>
        <w:gridCol w:w="677"/>
        <w:gridCol w:w="740"/>
        <w:gridCol w:w="725"/>
        <w:gridCol w:w="802"/>
        <w:gridCol w:w="749"/>
        <w:gridCol w:w="783"/>
        <w:gridCol w:w="725"/>
        <w:gridCol w:w="701"/>
        <w:gridCol w:w="768"/>
        <w:gridCol w:w="706"/>
        <w:gridCol w:w="754"/>
        <w:gridCol w:w="1489"/>
        <w:gridCol w:w="1013"/>
        <w:gridCol w:w="898"/>
        <w:gridCol w:w="1585"/>
      </w:tblGrid>
      <w:tr w:rsidR="00814E6F" w:rsidTr="00814E6F">
        <w:trPr>
          <w:trHeight w:val="138"/>
        </w:trPr>
        <w:tc>
          <w:tcPr>
            <w:tcW w:w="441" w:type="dxa"/>
            <w:vMerge w:val="restart"/>
          </w:tcPr>
          <w:p w:rsidR="00633DDA" w:rsidRDefault="00633DDA" w:rsidP="00633DDA">
            <w:pPr>
              <w:jc w:val="center"/>
              <w:rPr>
                <w:b/>
                <w:bCs/>
              </w:rPr>
            </w:pPr>
          </w:p>
          <w:p w:rsidR="00633DDA" w:rsidRPr="00633DDA" w:rsidRDefault="00633DDA" w:rsidP="00633DDA">
            <w:pPr>
              <w:jc w:val="center"/>
              <w:rPr>
                <w:b/>
                <w:bCs/>
              </w:rPr>
            </w:pPr>
            <w:r>
              <w:rPr>
                <w:b/>
                <w:bCs/>
              </w:rPr>
              <w:t>Acción.</w:t>
            </w:r>
          </w:p>
        </w:tc>
        <w:tc>
          <w:tcPr>
            <w:tcW w:w="2248" w:type="dxa"/>
            <w:gridSpan w:val="3"/>
          </w:tcPr>
          <w:p w:rsidR="00633DDA" w:rsidRPr="00633DDA" w:rsidRDefault="00633DDA" w:rsidP="00633DDA">
            <w:pPr>
              <w:jc w:val="center"/>
              <w:rPr>
                <w:b/>
                <w:bCs/>
              </w:rPr>
            </w:pPr>
            <w:r w:rsidRPr="00633DDA">
              <w:rPr>
                <w:b/>
                <w:bCs/>
              </w:rPr>
              <w:t>2019</w:t>
            </w:r>
          </w:p>
        </w:tc>
        <w:tc>
          <w:tcPr>
            <w:tcW w:w="7545" w:type="dxa"/>
            <w:gridSpan w:val="10"/>
          </w:tcPr>
          <w:p w:rsidR="00633DDA" w:rsidRPr="00633DDA" w:rsidRDefault="00633DDA" w:rsidP="00633DDA">
            <w:pPr>
              <w:jc w:val="center"/>
              <w:rPr>
                <w:b/>
                <w:bCs/>
              </w:rPr>
            </w:pPr>
            <w:r w:rsidRPr="00633DDA">
              <w:rPr>
                <w:b/>
                <w:bCs/>
              </w:rPr>
              <w:t>2020</w:t>
            </w:r>
          </w:p>
        </w:tc>
        <w:tc>
          <w:tcPr>
            <w:tcW w:w="1489" w:type="dxa"/>
          </w:tcPr>
          <w:p w:rsidR="00633DDA" w:rsidRPr="00633DDA" w:rsidRDefault="00633DDA" w:rsidP="00660783">
            <w:pPr>
              <w:rPr>
                <w:b/>
                <w:bCs/>
              </w:rPr>
            </w:pPr>
            <w:r w:rsidRPr="00633DDA">
              <w:rPr>
                <w:b/>
                <w:bCs/>
              </w:rPr>
              <w:t>Indicador.</w:t>
            </w:r>
          </w:p>
        </w:tc>
        <w:tc>
          <w:tcPr>
            <w:tcW w:w="1157" w:type="dxa"/>
          </w:tcPr>
          <w:p w:rsidR="00633DDA" w:rsidRPr="00633DDA" w:rsidRDefault="00633DDA" w:rsidP="00633DDA">
            <w:pPr>
              <w:jc w:val="center"/>
              <w:rPr>
                <w:b/>
                <w:bCs/>
              </w:rPr>
            </w:pPr>
            <w:r w:rsidRPr="00633DDA">
              <w:rPr>
                <w:b/>
                <w:bCs/>
              </w:rPr>
              <w:t>Meta</w:t>
            </w:r>
          </w:p>
          <w:p w:rsidR="00633DDA" w:rsidRPr="00633DDA" w:rsidRDefault="00633DDA" w:rsidP="00633DDA">
            <w:pPr>
              <w:jc w:val="center"/>
              <w:rPr>
                <w:b/>
                <w:bCs/>
              </w:rPr>
            </w:pPr>
            <w:r w:rsidRPr="00633DDA">
              <w:rPr>
                <w:b/>
                <w:bCs/>
              </w:rPr>
              <w:t>Anual.</w:t>
            </w:r>
          </w:p>
        </w:tc>
        <w:tc>
          <w:tcPr>
            <w:tcW w:w="986" w:type="dxa"/>
          </w:tcPr>
          <w:p w:rsidR="00633DDA" w:rsidRPr="00633DDA" w:rsidRDefault="00814E6F" w:rsidP="00814E6F">
            <w:pPr>
              <w:jc w:val="center"/>
              <w:rPr>
                <w:b/>
                <w:bCs/>
              </w:rPr>
            </w:pPr>
            <w:r w:rsidRPr="00633DDA">
              <w:rPr>
                <w:b/>
                <w:bCs/>
              </w:rPr>
              <w:t>Línea</w:t>
            </w:r>
          </w:p>
          <w:p w:rsidR="00633DDA" w:rsidRPr="00633DDA" w:rsidRDefault="00633DDA" w:rsidP="00814E6F">
            <w:pPr>
              <w:jc w:val="center"/>
              <w:rPr>
                <w:b/>
                <w:bCs/>
              </w:rPr>
            </w:pPr>
            <w:r w:rsidRPr="00633DDA">
              <w:rPr>
                <w:b/>
                <w:bCs/>
              </w:rPr>
              <w:t>Base.</w:t>
            </w:r>
          </w:p>
        </w:tc>
        <w:tc>
          <w:tcPr>
            <w:tcW w:w="1585" w:type="dxa"/>
          </w:tcPr>
          <w:p w:rsidR="00633DDA" w:rsidRPr="00633DDA" w:rsidRDefault="00633DDA" w:rsidP="00814E6F">
            <w:pPr>
              <w:jc w:val="center"/>
              <w:rPr>
                <w:b/>
                <w:bCs/>
              </w:rPr>
            </w:pPr>
            <w:r w:rsidRPr="00633DDA">
              <w:rPr>
                <w:b/>
                <w:bCs/>
              </w:rPr>
              <w:t>Resultados</w:t>
            </w:r>
          </w:p>
        </w:tc>
      </w:tr>
      <w:tr w:rsidR="00814E6F" w:rsidTr="00814E6F">
        <w:trPr>
          <w:trHeight w:val="138"/>
        </w:trPr>
        <w:tc>
          <w:tcPr>
            <w:tcW w:w="441" w:type="dxa"/>
            <w:vMerge/>
          </w:tcPr>
          <w:p w:rsidR="00633DDA" w:rsidRDefault="00633DDA" w:rsidP="00633DDA">
            <w:pPr>
              <w:jc w:val="center"/>
              <w:rPr>
                <w:b/>
                <w:bCs/>
              </w:rPr>
            </w:pPr>
          </w:p>
        </w:tc>
        <w:tc>
          <w:tcPr>
            <w:tcW w:w="754" w:type="dxa"/>
          </w:tcPr>
          <w:p w:rsidR="00633DDA" w:rsidRPr="00633DDA" w:rsidRDefault="00633DDA" w:rsidP="00633DDA">
            <w:pPr>
              <w:jc w:val="center"/>
              <w:rPr>
                <w:b/>
                <w:bCs/>
              </w:rPr>
            </w:pPr>
            <w:r w:rsidRPr="00633DDA">
              <w:rPr>
                <w:b/>
                <w:bCs/>
              </w:rPr>
              <w:t>O</w:t>
            </w:r>
            <w:r>
              <w:rPr>
                <w:b/>
                <w:bCs/>
              </w:rPr>
              <w:t>CT</w:t>
            </w:r>
          </w:p>
        </w:tc>
        <w:tc>
          <w:tcPr>
            <w:tcW w:w="768" w:type="dxa"/>
          </w:tcPr>
          <w:p w:rsidR="00633DDA" w:rsidRPr="00633DDA" w:rsidRDefault="00633DDA" w:rsidP="00633DDA">
            <w:pPr>
              <w:jc w:val="center"/>
              <w:rPr>
                <w:b/>
                <w:bCs/>
              </w:rPr>
            </w:pPr>
            <w:r w:rsidRPr="00633DDA">
              <w:rPr>
                <w:b/>
                <w:bCs/>
              </w:rPr>
              <w:t>N</w:t>
            </w:r>
            <w:r>
              <w:rPr>
                <w:b/>
                <w:bCs/>
              </w:rPr>
              <w:t>OV</w:t>
            </w:r>
          </w:p>
        </w:tc>
        <w:tc>
          <w:tcPr>
            <w:tcW w:w="726" w:type="dxa"/>
          </w:tcPr>
          <w:p w:rsidR="00633DDA" w:rsidRPr="00633DDA" w:rsidRDefault="00633DDA" w:rsidP="00633DDA">
            <w:pPr>
              <w:jc w:val="center"/>
              <w:rPr>
                <w:b/>
                <w:bCs/>
              </w:rPr>
            </w:pPr>
            <w:r w:rsidRPr="00633DDA">
              <w:rPr>
                <w:b/>
                <w:bCs/>
              </w:rPr>
              <w:t>D</w:t>
            </w:r>
            <w:r>
              <w:rPr>
                <w:b/>
                <w:bCs/>
              </w:rPr>
              <w:t>IC</w:t>
            </w:r>
          </w:p>
        </w:tc>
        <w:tc>
          <w:tcPr>
            <w:tcW w:w="740" w:type="dxa"/>
          </w:tcPr>
          <w:p w:rsidR="00633DDA" w:rsidRPr="00633DDA" w:rsidRDefault="00633DDA" w:rsidP="00633DDA">
            <w:pPr>
              <w:jc w:val="center"/>
              <w:rPr>
                <w:b/>
                <w:bCs/>
              </w:rPr>
            </w:pPr>
            <w:r w:rsidRPr="00633DDA">
              <w:rPr>
                <w:b/>
                <w:bCs/>
              </w:rPr>
              <w:t>ENE</w:t>
            </w:r>
          </w:p>
        </w:tc>
        <w:tc>
          <w:tcPr>
            <w:tcW w:w="725" w:type="dxa"/>
          </w:tcPr>
          <w:p w:rsidR="00633DDA" w:rsidRPr="00633DDA" w:rsidRDefault="00633DDA" w:rsidP="00633DDA">
            <w:pPr>
              <w:jc w:val="center"/>
              <w:rPr>
                <w:b/>
                <w:bCs/>
              </w:rPr>
            </w:pPr>
            <w:r w:rsidRPr="00633DDA">
              <w:rPr>
                <w:b/>
                <w:bCs/>
              </w:rPr>
              <w:t>FEB</w:t>
            </w:r>
          </w:p>
        </w:tc>
        <w:tc>
          <w:tcPr>
            <w:tcW w:w="802" w:type="dxa"/>
          </w:tcPr>
          <w:p w:rsidR="00633DDA" w:rsidRPr="00633DDA" w:rsidRDefault="00633DDA" w:rsidP="00633DDA">
            <w:pPr>
              <w:jc w:val="center"/>
              <w:rPr>
                <w:b/>
                <w:bCs/>
              </w:rPr>
            </w:pPr>
            <w:r w:rsidRPr="00633DDA">
              <w:rPr>
                <w:b/>
                <w:bCs/>
              </w:rPr>
              <w:t>MAR</w:t>
            </w:r>
          </w:p>
        </w:tc>
        <w:tc>
          <w:tcPr>
            <w:tcW w:w="814" w:type="dxa"/>
          </w:tcPr>
          <w:p w:rsidR="00633DDA" w:rsidRPr="00633DDA" w:rsidRDefault="00633DDA" w:rsidP="00633DDA">
            <w:pPr>
              <w:jc w:val="center"/>
              <w:rPr>
                <w:b/>
                <w:bCs/>
              </w:rPr>
            </w:pPr>
            <w:r w:rsidRPr="00633DDA">
              <w:rPr>
                <w:b/>
                <w:bCs/>
              </w:rPr>
              <w:t>ABR</w:t>
            </w:r>
          </w:p>
        </w:tc>
        <w:tc>
          <w:tcPr>
            <w:tcW w:w="810" w:type="dxa"/>
          </w:tcPr>
          <w:p w:rsidR="00633DDA" w:rsidRPr="00633DDA" w:rsidRDefault="00633DDA" w:rsidP="00633DDA">
            <w:pPr>
              <w:jc w:val="center"/>
              <w:rPr>
                <w:b/>
                <w:bCs/>
              </w:rPr>
            </w:pPr>
            <w:r w:rsidRPr="00633DDA">
              <w:rPr>
                <w:b/>
                <w:bCs/>
              </w:rPr>
              <w:t>MAY</w:t>
            </w:r>
          </w:p>
        </w:tc>
        <w:tc>
          <w:tcPr>
            <w:tcW w:w="725" w:type="dxa"/>
          </w:tcPr>
          <w:p w:rsidR="00633DDA" w:rsidRPr="00633DDA" w:rsidRDefault="00633DDA" w:rsidP="00633DDA">
            <w:pPr>
              <w:jc w:val="center"/>
              <w:rPr>
                <w:b/>
                <w:bCs/>
              </w:rPr>
            </w:pPr>
            <w:r w:rsidRPr="00633DDA">
              <w:rPr>
                <w:b/>
                <w:bCs/>
              </w:rPr>
              <w:t>JUN</w:t>
            </w:r>
          </w:p>
        </w:tc>
        <w:tc>
          <w:tcPr>
            <w:tcW w:w="701" w:type="dxa"/>
          </w:tcPr>
          <w:p w:rsidR="00633DDA" w:rsidRPr="00633DDA" w:rsidRDefault="00633DDA" w:rsidP="00633DDA">
            <w:pPr>
              <w:jc w:val="center"/>
              <w:rPr>
                <w:b/>
                <w:bCs/>
              </w:rPr>
            </w:pPr>
            <w:r w:rsidRPr="00633DDA">
              <w:rPr>
                <w:b/>
                <w:bCs/>
              </w:rPr>
              <w:t>JUL</w:t>
            </w:r>
          </w:p>
        </w:tc>
        <w:tc>
          <w:tcPr>
            <w:tcW w:w="768" w:type="dxa"/>
          </w:tcPr>
          <w:p w:rsidR="00633DDA" w:rsidRPr="00633DDA" w:rsidRDefault="00633DDA" w:rsidP="00633DDA">
            <w:pPr>
              <w:jc w:val="center"/>
              <w:rPr>
                <w:b/>
                <w:bCs/>
              </w:rPr>
            </w:pPr>
            <w:r w:rsidRPr="00633DDA">
              <w:rPr>
                <w:b/>
                <w:bCs/>
              </w:rPr>
              <w:t>AGO</w:t>
            </w:r>
          </w:p>
        </w:tc>
        <w:tc>
          <w:tcPr>
            <w:tcW w:w="706" w:type="dxa"/>
          </w:tcPr>
          <w:p w:rsidR="00633DDA" w:rsidRPr="00633DDA" w:rsidRDefault="00633DDA" w:rsidP="00633DDA">
            <w:pPr>
              <w:jc w:val="center"/>
              <w:rPr>
                <w:b/>
                <w:bCs/>
              </w:rPr>
            </w:pPr>
            <w:r w:rsidRPr="00633DDA">
              <w:rPr>
                <w:b/>
                <w:bCs/>
              </w:rPr>
              <w:t xml:space="preserve">SEP </w:t>
            </w:r>
          </w:p>
        </w:tc>
        <w:tc>
          <w:tcPr>
            <w:tcW w:w="754" w:type="dxa"/>
          </w:tcPr>
          <w:p w:rsidR="00633DDA" w:rsidRPr="00633DDA" w:rsidRDefault="00633DDA" w:rsidP="00633DDA">
            <w:pPr>
              <w:jc w:val="center"/>
              <w:rPr>
                <w:b/>
                <w:bCs/>
              </w:rPr>
            </w:pPr>
            <w:r w:rsidRPr="00633DDA">
              <w:rPr>
                <w:b/>
                <w:bCs/>
              </w:rPr>
              <w:t>OCT</w:t>
            </w:r>
          </w:p>
        </w:tc>
        <w:tc>
          <w:tcPr>
            <w:tcW w:w="1489" w:type="dxa"/>
            <w:vMerge w:val="restart"/>
          </w:tcPr>
          <w:p w:rsidR="00633DDA" w:rsidRPr="00814E6F" w:rsidRDefault="00814E6F" w:rsidP="00814E6F">
            <w:pPr>
              <w:jc w:val="center"/>
            </w:pPr>
            <w:r>
              <w:t>Sesiones.</w:t>
            </w:r>
          </w:p>
        </w:tc>
        <w:tc>
          <w:tcPr>
            <w:tcW w:w="1157" w:type="dxa"/>
            <w:vMerge w:val="restart"/>
          </w:tcPr>
          <w:p w:rsidR="00633DDA" w:rsidRPr="00814E6F" w:rsidRDefault="00B3453B" w:rsidP="00814E6F">
            <w:pPr>
              <w:jc w:val="center"/>
            </w:pPr>
            <w:r>
              <w:t>10</w:t>
            </w:r>
          </w:p>
          <w:p w:rsidR="00814E6F" w:rsidRPr="00633DDA" w:rsidRDefault="00814E6F" w:rsidP="00814E6F">
            <w:pPr>
              <w:jc w:val="center"/>
              <w:rPr>
                <w:b/>
                <w:bCs/>
              </w:rPr>
            </w:pPr>
          </w:p>
        </w:tc>
        <w:tc>
          <w:tcPr>
            <w:tcW w:w="986" w:type="dxa"/>
            <w:vMerge w:val="restart"/>
          </w:tcPr>
          <w:p w:rsidR="00633DDA" w:rsidRPr="00814E6F" w:rsidRDefault="00814E6F" w:rsidP="00814E6F">
            <w:pPr>
              <w:jc w:val="center"/>
            </w:pPr>
            <w:r w:rsidRPr="00814E6F">
              <w:t>100%</w:t>
            </w:r>
          </w:p>
        </w:tc>
        <w:tc>
          <w:tcPr>
            <w:tcW w:w="1585" w:type="dxa"/>
            <w:vMerge w:val="restart"/>
          </w:tcPr>
          <w:p w:rsidR="00633DDA" w:rsidRPr="00633DDA" w:rsidRDefault="00633DDA" w:rsidP="00660783">
            <w:pPr>
              <w:rPr>
                <w:b/>
                <w:bCs/>
              </w:rPr>
            </w:pPr>
          </w:p>
        </w:tc>
      </w:tr>
      <w:tr w:rsidR="00814E6F" w:rsidTr="00814E6F">
        <w:trPr>
          <w:trHeight w:val="138"/>
        </w:trPr>
        <w:tc>
          <w:tcPr>
            <w:tcW w:w="441" w:type="dxa"/>
            <w:vMerge/>
          </w:tcPr>
          <w:p w:rsidR="00633DDA" w:rsidRDefault="00633DDA" w:rsidP="00633DDA">
            <w:pPr>
              <w:jc w:val="center"/>
              <w:rPr>
                <w:b/>
                <w:bCs/>
              </w:rPr>
            </w:pPr>
          </w:p>
        </w:tc>
        <w:tc>
          <w:tcPr>
            <w:tcW w:w="754" w:type="dxa"/>
          </w:tcPr>
          <w:p w:rsidR="00633DDA" w:rsidRDefault="00633DDA" w:rsidP="00633DDA">
            <w:pPr>
              <w:jc w:val="center"/>
            </w:pPr>
          </w:p>
        </w:tc>
        <w:tc>
          <w:tcPr>
            <w:tcW w:w="768" w:type="dxa"/>
          </w:tcPr>
          <w:p w:rsidR="00633DDA" w:rsidRDefault="00633DDA" w:rsidP="00633DDA">
            <w:pPr>
              <w:jc w:val="center"/>
            </w:pPr>
          </w:p>
        </w:tc>
        <w:tc>
          <w:tcPr>
            <w:tcW w:w="726" w:type="dxa"/>
          </w:tcPr>
          <w:p w:rsidR="00633DDA" w:rsidRDefault="00633DDA" w:rsidP="00633DDA">
            <w:pPr>
              <w:jc w:val="center"/>
            </w:pPr>
          </w:p>
        </w:tc>
        <w:tc>
          <w:tcPr>
            <w:tcW w:w="740" w:type="dxa"/>
          </w:tcPr>
          <w:p w:rsidR="00633DDA" w:rsidRDefault="00814E6F" w:rsidP="00633DDA">
            <w:pPr>
              <w:jc w:val="center"/>
            </w:pPr>
            <w:r>
              <w:t>1</w:t>
            </w:r>
          </w:p>
        </w:tc>
        <w:tc>
          <w:tcPr>
            <w:tcW w:w="725" w:type="dxa"/>
          </w:tcPr>
          <w:p w:rsidR="00633DDA" w:rsidRDefault="00814E6F" w:rsidP="00633DDA">
            <w:pPr>
              <w:jc w:val="center"/>
            </w:pPr>
            <w:r>
              <w:t>1</w:t>
            </w:r>
          </w:p>
        </w:tc>
        <w:tc>
          <w:tcPr>
            <w:tcW w:w="802" w:type="dxa"/>
          </w:tcPr>
          <w:p w:rsidR="00633DDA" w:rsidRDefault="00814E6F" w:rsidP="00633DDA">
            <w:pPr>
              <w:jc w:val="center"/>
            </w:pPr>
            <w:r>
              <w:t>1</w:t>
            </w:r>
          </w:p>
        </w:tc>
        <w:tc>
          <w:tcPr>
            <w:tcW w:w="814" w:type="dxa"/>
          </w:tcPr>
          <w:p w:rsidR="00633DDA" w:rsidRDefault="00814E6F" w:rsidP="00633DDA">
            <w:pPr>
              <w:jc w:val="center"/>
            </w:pPr>
            <w:r>
              <w:t>1</w:t>
            </w:r>
          </w:p>
        </w:tc>
        <w:tc>
          <w:tcPr>
            <w:tcW w:w="810" w:type="dxa"/>
          </w:tcPr>
          <w:p w:rsidR="00633DDA" w:rsidRDefault="00814E6F" w:rsidP="00633DDA">
            <w:pPr>
              <w:jc w:val="center"/>
            </w:pPr>
            <w:r>
              <w:t>1</w:t>
            </w:r>
          </w:p>
        </w:tc>
        <w:tc>
          <w:tcPr>
            <w:tcW w:w="725" w:type="dxa"/>
          </w:tcPr>
          <w:p w:rsidR="00633DDA" w:rsidRDefault="00814E6F" w:rsidP="00633DDA">
            <w:pPr>
              <w:jc w:val="center"/>
            </w:pPr>
            <w:r>
              <w:t>1</w:t>
            </w:r>
          </w:p>
        </w:tc>
        <w:tc>
          <w:tcPr>
            <w:tcW w:w="701" w:type="dxa"/>
          </w:tcPr>
          <w:p w:rsidR="00633DDA" w:rsidRDefault="00814E6F" w:rsidP="00633DDA">
            <w:pPr>
              <w:jc w:val="center"/>
            </w:pPr>
            <w:r>
              <w:t>1</w:t>
            </w:r>
          </w:p>
        </w:tc>
        <w:tc>
          <w:tcPr>
            <w:tcW w:w="768" w:type="dxa"/>
          </w:tcPr>
          <w:p w:rsidR="00633DDA" w:rsidRDefault="00814E6F" w:rsidP="00633DDA">
            <w:pPr>
              <w:jc w:val="center"/>
            </w:pPr>
            <w:r>
              <w:t>1</w:t>
            </w:r>
          </w:p>
        </w:tc>
        <w:tc>
          <w:tcPr>
            <w:tcW w:w="706" w:type="dxa"/>
          </w:tcPr>
          <w:p w:rsidR="00633DDA" w:rsidRDefault="00814E6F" w:rsidP="00633DDA">
            <w:pPr>
              <w:jc w:val="center"/>
            </w:pPr>
            <w:r>
              <w:t>1</w:t>
            </w:r>
          </w:p>
        </w:tc>
        <w:tc>
          <w:tcPr>
            <w:tcW w:w="754" w:type="dxa"/>
          </w:tcPr>
          <w:p w:rsidR="00633DDA" w:rsidRDefault="00814E6F" w:rsidP="00633DDA">
            <w:pPr>
              <w:jc w:val="center"/>
            </w:pPr>
            <w:r>
              <w:t>1</w:t>
            </w:r>
          </w:p>
        </w:tc>
        <w:tc>
          <w:tcPr>
            <w:tcW w:w="1489" w:type="dxa"/>
            <w:vMerge/>
          </w:tcPr>
          <w:p w:rsidR="00633DDA" w:rsidRDefault="00633DDA" w:rsidP="00660783"/>
        </w:tc>
        <w:tc>
          <w:tcPr>
            <w:tcW w:w="1157" w:type="dxa"/>
            <w:vMerge/>
          </w:tcPr>
          <w:p w:rsidR="00633DDA" w:rsidRDefault="00633DDA" w:rsidP="00660783"/>
        </w:tc>
        <w:tc>
          <w:tcPr>
            <w:tcW w:w="986" w:type="dxa"/>
            <w:vMerge/>
          </w:tcPr>
          <w:p w:rsidR="00633DDA" w:rsidRDefault="00633DDA" w:rsidP="00660783"/>
        </w:tc>
        <w:tc>
          <w:tcPr>
            <w:tcW w:w="1585" w:type="dxa"/>
            <w:vMerge/>
          </w:tcPr>
          <w:p w:rsidR="00633DDA" w:rsidRDefault="00633DDA" w:rsidP="00660783"/>
        </w:tc>
      </w:tr>
    </w:tbl>
    <w:p w:rsidR="00743C0F" w:rsidRPr="00346352" w:rsidRDefault="00743C0F" w:rsidP="00660783"/>
    <w:p w:rsidR="000324AD" w:rsidRPr="000324AD" w:rsidRDefault="000324AD" w:rsidP="000324AD">
      <w:pPr>
        <w:ind w:left="360"/>
      </w:pPr>
      <w:r w:rsidRPr="000324AD">
        <w:rPr>
          <w:b/>
          <w:bCs/>
        </w:rPr>
        <w:t xml:space="preserve">Nota: </w:t>
      </w:r>
      <w:r w:rsidRPr="000324AD">
        <w:t>Se contemplan solamente las sesiones, en virtud de que los turnos que emita el cabildo al ser un acontecimiento futuro, no se pueden determinar, sin embargo, esta información, en conjunto con las propuestas que sean hechas en las sesiones por los miembros de la comisión serán agregados en cada informe trimestral, según corresponda.</w:t>
      </w:r>
    </w:p>
    <w:p w:rsidR="00346352" w:rsidRDefault="00346352" w:rsidP="00346352">
      <w:pPr>
        <w:ind w:left="360"/>
      </w:pPr>
      <w:bookmarkStart w:id="0" w:name="_GoBack"/>
      <w:bookmarkEnd w:id="0"/>
    </w:p>
    <w:sectPr w:rsidR="00346352" w:rsidSect="00897D98">
      <w:headerReference w:type="default" r:id="rId8"/>
      <w:footerReference w:type="default" r:id="rId9"/>
      <w:pgSz w:w="19298" w:h="12240" w:orient="landscape" w:code="15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D98" w:rsidRDefault="00897D98" w:rsidP="00897D98">
      <w:pPr>
        <w:spacing w:line="240" w:lineRule="auto"/>
      </w:pPr>
      <w:r>
        <w:separator/>
      </w:r>
    </w:p>
  </w:endnote>
  <w:endnote w:type="continuationSeparator" w:id="0">
    <w:p w:rsidR="00897D98" w:rsidRDefault="00897D98" w:rsidP="00897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ertAlign w:val="subscript"/>
      </w:rPr>
      <w:id w:val="7106752"/>
      <w:docPartObj>
        <w:docPartGallery w:val="Page Numbers (Bottom of Page)"/>
        <w:docPartUnique/>
      </w:docPartObj>
    </w:sdtPr>
    <w:sdtEndPr/>
    <w:sdtContent>
      <w:sdt>
        <w:sdtPr>
          <w:rPr>
            <w:vertAlign w:val="subscript"/>
          </w:rPr>
          <w:id w:val="-1769616900"/>
          <w:docPartObj>
            <w:docPartGallery w:val="Page Numbers (Top of Page)"/>
            <w:docPartUnique/>
          </w:docPartObj>
        </w:sdtPr>
        <w:sdtEndPr/>
        <w:sdtContent>
          <w:p w:rsidR="00620CEC" w:rsidRPr="00620CEC" w:rsidRDefault="00620CEC" w:rsidP="00620CEC">
            <w:pPr>
              <w:pStyle w:val="Piedepgina"/>
              <w:rPr>
                <w:vertAlign w:val="subscript"/>
              </w:rPr>
            </w:pPr>
          </w:p>
          <w:p w:rsidR="00620CEC" w:rsidRPr="00620CEC" w:rsidRDefault="00620CEC" w:rsidP="00620CEC">
            <w:pPr>
              <w:pStyle w:val="Piedepgina"/>
              <w:rPr>
                <w:b/>
                <w:bCs/>
                <w:vertAlign w:val="superscript"/>
              </w:rPr>
            </w:pPr>
            <w:r w:rsidRPr="00620CEC">
              <w:rPr>
                <w:b/>
                <w:bCs/>
                <w:vertAlign w:val="superscript"/>
              </w:rPr>
              <w:t>______________________________________________________________________________________________________________________________________________________________________________________________________</w:t>
            </w:r>
          </w:p>
          <w:p w:rsidR="00620CEC" w:rsidRPr="00620CEC" w:rsidRDefault="00620CEC" w:rsidP="00620CEC">
            <w:pPr>
              <w:pStyle w:val="Piedepgina"/>
              <w:rPr>
                <w:vertAlign w:val="superscript"/>
              </w:rPr>
            </w:pPr>
            <w:r w:rsidRPr="00620CEC">
              <w:rPr>
                <w:vertAlign w:val="superscript"/>
              </w:rPr>
              <w:t xml:space="preserve">Esta hoja forma parte del Programa de Trabajo Anual de la Comisión Edilicia de Energía </w:t>
            </w:r>
            <w:r w:rsidR="00F5538B">
              <w:rPr>
                <w:vertAlign w:val="superscript"/>
              </w:rPr>
              <w:t>del mes de</w:t>
            </w:r>
            <w:r w:rsidRPr="00620CEC">
              <w:rPr>
                <w:vertAlign w:val="superscript"/>
              </w:rPr>
              <w:t xml:space="preserve"> octubre del año 2019 al mes de octubre del año 2020.</w:t>
            </w:r>
          </w:p>
          <w:p w:rsidR="00620CEC" w:rsidRPr="00620CEC" w:rsidRDefault="00620CEC">
            <w:pPr>
              <w:pStyle w:val="Piedepgina"/>
              <w:jc w:val="right"/>
              <w:rPr>
                <w:vertAlign w:val="subscript"/>
              </w:rPr>
            </w:pPr>
            <w:r w:rsidRPr="00620CEC">
              <w:rPr>
                <w:vertAlign w:val="subscript"/>
                <w:lang w:val="es-ES"/>
              </w:rPr>
              <w:t xml:space="preserve">Página </w:t>
            </w:r>
            <w:r w:rsidRPr="00620CEC">
              <w:rPr>
                <w:b/>
                <w:bCs/>
                <w:szCs w:val="24"/>
                <w:vertAlign w:val="subscript"/>
              </w:rPr>
              <w:fldChar w:fldCharType="begin"/>
            </w:r>
            <w:r w:rsidRPr="00620CEC">
              <w:rPr>
                <w:b/>
                <w:bCs/>
                <w:vertAlign w:val="subscript"/>
              </w:rPr>
              <w:instrText>PAGE</w:instrText>
            </w:r>
            <w:r w:rsidRPr="00620CEC">
              <w:rPr>
                <w:b/>
                <w:bCs/>
                <w:szCs w:val="24"/>
                <w:vertAlign w:val="subscript"/>
              </w:rPr>
              <w:fldChar w:fldCharType="separate"/>
            </w:r>
            <w:r w:rsidRPr="00620CEC">
              <w:rPr>
                <w:b/>
                <w:bCs/>
                <w:vertAlign w:val="subscript"/>
                <w:lang w:val="es-ES"/>
              </w:rPr>
              <w:t>2</w:t>
            </w:r>
            <w:r w:rsidRPr="00620CEC">
              <w:rPr>
                <w:b/>
                <w:bCs/>
                <w:szCs w:val="24"/>
                <w:vertAlign w:val="subscript"/>
              </w:rPr>
              <w:fldChar w:fldCharType="end"/>
            </w:r>
            <w:r w:rsidRPr="00620CEC">
              <w:rPr>
                <w:vertAlign w:val="subscript"/>
                <w:lang w:val="es-ES"/>
              </w:rPr>
              <w:t xml:space="preserve"> de </w:t>
            </w:r>
            <w:r w:rsidRPr="00620CEC">
              <w:rPr>
                <w:b/>
                <w:bCs/>
                <w:szCs w:val="24"/>
                <w:vertAlign w:val="subscript"/>
              </w:rPr>
              <w:fldChar w:fldCharType="begin"/>
            </w:r>
            <w:r w:rsidRPr="00620CEC">
              <w:rPr>
                <w:b/>
                <w:bCs/>
                <w:vertAlign w:val="subscript"/>
              </w:rPr>
              <w:instrText>NUMPAGES</w:instrText>
            </w:r>
            <w:r w:rsidRPr="00620CEC">
              <w:rPr>
                <w:b/>
                <w:bCs/>
                <w:szCs w:val="24"/>
                <w:vertAlign w:val="subscript"/>
              </w:rPr>
              <w:fldChar w:fldCharType="separate"/>
            </w:r>
            <w:r w:rsidRPr="00620CEC">
              <w:rPr>
                <w:b/>
                <w:bCs/>
                <w:vertAlign w:val="subscript"/>
                <w:lang w:val="es-ES"/>
              </w:rPr>
              <w:t>2</w:t>
            </w:r>
            <w:r w:rsidRPr="00620CEC">
              <w:rPr>
                <w:b/>
                <w:bCs/>
                <w:szCs w:val="24"/>
                <w:vertAlign w:val="subscript"/>
              </w:rPr>
              <w:fldChar w:fldCharType="end"/>
            </w:r>
          </w:p>
        </w:sdtContent>
      </w:sdt>
    </w:sdtContent>
  </w:sdt>
  <w:p w:rsidR="00620CEC" w:rsidRPr="00897D98" w:rsidRDefault="00620CEC" w:rsidP="00897D98">
    <w:pPr>
      <w:pStyle w:val="Piedepgina"/>
      <w:jc w:val="right"/>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D98" w:rsidRDefault="00897D98" w:rsidP="00897D98">
      <w:pPr>
        <w:spacing w:line="240" w:lineRule="auto"/>
      </w:pPr>
      <w:r>
        <w:separator/>
      </w:r>
    </w:p>
  </w:footnote>
  <w:footnote w:type="continuationSeparator" w:id="0">
    <w:p w:rsidR="00897D98" w:rsidRDefault="00897D98" w:rsidP="00897D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98" w:rsidRPr="00897D98" w:rsidRDefault="00897D98" w:rsidP="00897D98">
    <w:pPr>
      <w:pStyle w:val="Encabezado"/>
      <w:jc w:val="center"/>
      <w:rPr>
        <w:b/>
        <w:bCs/>
        <w:i/>
        <w:iCs/>
      </w:rPr>
    </w:pPr>
    <w:r w:rsidRPr="00897D98">
      <w:rPr>
        <w:b/>
        <w:bCs/>
        <w:i/>
        <w:iCs/>
      </w:rPr>
      <w:t>Programa de Trabajo Anual de la Comisión Edilicia de Energía.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12C"/>
    <w:multiLevelType w:val="hybridMultilevel"/>
    <w:tmpl w:val="0ED0931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594F6B"/>
    <w:multiLevelType w:val="hybridMultilevel"/>
    <w:tmpl w:val="453EAB3A"/>
    <w:lvl w:ilvl="0" w:tplc="83B42C5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98"/>
    <w:rsid w:val="000324AD"/>
    <w:rsid w:val="000F2832"/>
    <w:rsid w:val="001B47B7"/>
    <w:rsid w:val="00346352"/>
    <w:rsid w:val="004C3B52"/>
    <w:rsid w:val="00620CEC"/>
    <w:rsid w:val="00633DDA"/>
    <w:rsid w:val="00660783"/>
    <w:rsid w:val="00743C0F"/>
    <w:rsid w:val="007C4474"/>
    <w:rsid w:val="00814E6F"/>
    <w:rsid w:val="00863066"/>
    <w:rsid w:val="00897D98"/>
    <w:rsid w:val="008B02B2"/>
    <w:rsid w:val="00B3453B"/>
    <w:rsid w:val="00EE15E3"/>
    <w:rsid w:val="00F55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EEACEE"/>
  <w15:chartTrackingRefBased/>
  <w15:docId w15:val="{A69A14C8-02B9-43C1-BA83-76DD9B03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7D9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7D98"/>
  </w:style>
  <w:style w:type="paragraph" w:styleId="Piedepgina">
    <w:name w:val="footer"/>
    <w:basedOn w:val="Normal"/>
    <w:link w:val="PiedepginaCar"/>
    <w:uiPriority w:val="99"/>
    <w:unhideWhenUsed/>
    <w:rsid w:val="00897D9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7D98"/>
  </w:style>
  <w:style w:type="paragraph" w:styleId="Prrafodelista">
    <w:name w:val="List Paragraph"/>
    <w:basedOn w:val="Normal"/>
    <w:uiPriority w:val="34"/>
    <w:qFormat/>
    <w:rsid w:val="00620CEC"/>
    <w:pPr>
      <w:ind w:left="720"/>
      <w:contextualSpacing/>
    </w:pPr>
  </w:style>
  <w:style w:type="table" w:styleId="Tablaconcuadrcula">
    <w:name w:val="Table Grid"/>
    <w:basedOn w:val="Tablanormal"/>
    <w:uiPriority w:val="39"/>
    <w:rsid w:val="00633D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447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2093">
      <w:bodyDiv w:val="1"/>
      <w:marLeft w:val="0"/>
      <w:marRight w:val="0"/>
      <w:marTop w:val="0"/>
      <w:marBottom w:val="0"/>
      <w:divBdr>
        <w:top w:val="none" w:sz="0" w:space="0" w:color="auto"/>
        <w:left w:val="none" w:sz="0" w:space="0" w:color="auto"/>
        <w:bottom w:val="none" w:sz="0" w:space="0" w:color="auto"/>
        <w:right w:val="none" w:sz="0" w:space="0" w:color="auto"/>
      </w:divBdr>
    </w:div>
    <w:div w:id="17574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004B-F693-486B-8354-14D29E1A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Jorge Luis Godinez Reyes</cp:lastModifiedBy>
  <cp:revision>8</cp:revision>
  <cp:lastPrinted>2020-02-12T19:22:00Z</cp:lastPrinted>
  <dcterms:created xsi:type="dcterms:W3CDTF">2020-02-11T20:36:00Z</dcterms:created>
  <dcterms:modified xsi:type="dcterms:W3CDTF">2020-02-12T19:23:00Z</dcterms:modified>
</cp:coreProperties>
</file>