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DA" w:rsidRDefault="00633DDA" w:rsidP="00620CEC">
      <w:pPr>
        <w:jc w:val="right"/>
      </w:pPr>
    </w:p>
    <w:p w:rsidR="004C3B52" w:rsidRDefault="00620CEC" w:rsidP="00620CEC">
      <w:pPr>
        <w:jc w:val="right"/>
      </w:pPr>
      <w:r>
        <w:t>San Pedro Tlaquepaque a 02 de octubre del año 2019.</w:t>
      </w:r>
    </w:p>
    <w:p w:rsidR="00620CEC" w:rsidRDefault="00620CEC" w:rsidP="00620CEC">
      <w:pPr>
        <w:jc w:val="right"/>
      </w:pPr>
    </w:p>
    <w:p w:rsidR="00620CEC" w:rsidRDefault="00620CEC" w:rsidP="00620CEC"/>
    <w:p w:rsidR="00620CEC" w:rsidRDefault="00620CEC" w:rsidP="00BE0F7B">
      <w:pPr>
        <w:jc w:val="center"/>
        <w:rPr>
          <w:b/>
          <w:bCs/>
        </w:rPr>
      </w:pPr>
      <w:r>
        <w:rPr>
          <w:b/>
          <w:bCs/>
        </w:rPr>
        <w:t xml:space="preserve">Integrantes de la Comisión Edilicia de </w:t>
      </w:r>
      <w:r w:rsidR="006A6F8D">
        <w:rPr>
          <w:b/>
          <w:bCs/>
        </w:rPr>
        <w:t>Asuntos Metropolitanos</w:t>
      </w:r>
      <w:r>
        <w:rPr>
          <w:b/>
          <w:bCs/>
        </w:rPr>
        <w:t>.</w:t>
      </w:r>
    </w:p>
    <w:p w:rsidR="00620CEC" w:rsidRDefault="00620CEC" w:rsidP="00BE0F7B">
      <w:pPr>
        <w:jc w:val="center"/>
        <w:rPr>
          <w:b/>
          <w:bCs/>
        </w:rPr>
      </w:pPr>
    </w:p>
    <w:p w:rsidR="008E2B24" w:rsidRDefault="008E2B24" w:rsidP="00BE0F7B">
      <w:pPr>
        <w:jc w:val="center"/>
        <w:rPr>
          <w:b/>
          <w:bCs/>
        </w:rPr>
      </w:pPr>
    </w:p>
    <w:p w:rsidR="00827ECF" w:rsidRDefault="00827ECF" w:rsidP="00BE0F7B">
      <w:pPr>
        <w:jc w:val="center"/>
        <w:rPr>
          <w:b/>
          <w:bCs/>
        </w:rPr>
      </w:pPr>
    </w:p>
    <w:p w:rsidR="00620CEC" w:rsidRPr="00F15673" w:rsidRDefault="00620CEC" w:rsidP="00BE0F7B">
      <w:pPr>
        <w:jc w:val="center"/>
        <w:rPr>
          <w:b/>
          <w:bCs/>
        </w:rPr>
      </w:pPr>
      <w:r w:rsidRPr="00F15673">
        <w:rPr>
          <w:b/>
          <w:bCs/>
        </w:rPr>
        <w:t xml:space="preserve">María Elena </w:t>
      </w:r>
      <w:r w:rsidR="00346352" w:rsidRPr="00F15673">
        <w:rPr>
          <w:b/>
          <w:bCs/>
        </w:rPr>
        <w:t>Limón</w:t>
      </w:r>
      <w:r w:rsidRPr="00F15673">
        <w:rPr>
          <w:b/>
          <w:bCs/>
        </w:rPr>
        <w:t xml:space="preserve"> García.</w:t>
      </w:r>
    </w:p>
    <w:p w:rsidR="00620CEC" w:rsidRDefault="001D7D59" w:rsidP="00BE0F7B">
      <w:pPr>
        <w:jc w:val="center"/>
      </w:pPr>
      <w:r>
        <w:t xml:space="preserve">Presidenta Municipal y </w:t>
      </w:r>
      <w:r w:rsidR="00620CEC">
        <w:t xml:space="preserve">Presidenta de la Comisión Edilicia de </w:t>
      </w:r>
      <w:r w:rsidR="006A6F8D">
        <w:t>Asuntos Metropolitanos</w:t>
      </w:r>
      <w:r w:rsidR="00346352">
        <w:t>.</w:t>
      </w:r>
    </w:p>
    <w:p w:rsidR="00620CEC" w:rsidRDefault="00620CEC" w:rsidP="00BE0F7B">
      <w:pPr>
        <w:jc w:val="center"/>
      </w:pPr>
    </w:p>
    <w:p w:rsidR="008E2B24" w:rsidRDefault="008E2B24" w:rsidP="00BE0F7B">
      <w:pPr>
        <w:jc w:val="center"/>
      </w:pPr>
    </w:p>
    <w:p w:rsidR="00620CEC" w:rsidRDefault="00620CEC" w:rsidP="00BE0F7B">
      <w:pPr>
        <w:jc w:val="center"/>
      </w:pPr>
    </w:p>
    <w:p w:rsidR="00F15673" w:rsidRPr="00F15673" w:rsidRDefault="00F15673" w:rsidP="00BE0F7B">
      <w:pPr>
        <w:jc w:val="center"/>
        <w:rPr>
          <w:b/>
          <w:bCs/>
        </w:rPr>
      </w:pPr>
      <w:r w:rsidRPr="00F15673">
        <w:rPr>
          <w:b/>
          <w:bCs/>
        </w:rPr>
        <w:t>José Luis Salazar Martínez.</w:t>
      </w:r>
    </w:p>
    <w:p w:rsidR="00F15673" w:rsidRDefault="00F15673" w:rsidP="00BE0F7B">
      <w:pPr>
        <w:jc w:val="center"/>
      </w:pPr>
      <w:r>
        <w:t xml:space="preserve">Síndico Municipal y Vocal de la Comisión Edilicia de </w:t>
      </w:r>
      <w:r w:rsidR="006A6F8D">
        <w:t>Asuntos Metropolitanos</w:t>
      </w:r>
      <w:r>
        <w:t>.</w:t>
      </w:r>
    </w:p>
    <w:p w:rsidR="00620CEC" w:rsidRDefault="00620CEC" w:rsidP="00BE0F7B">
      <w:pPr>
        <w:jc w:val="center"/>
      </w:pPr>
    </w:p>
    <w:p w:rsidR="001D7D59" w:rsidRDefault="001D7D59" w:rsidP="00BE0F7B">
      <w:pPr>
        <w:jc w:val="center"/>
      </w:pPr>
    </w:p>
    <w:p w:rsidR="008E2B24" w:rsidRDefault="008E2B24" w:rsidP="00BE0F7B">
      <w:pPr>
        <w:jc w:val="center"/>
      </w:pPr>
    </w:p>
    <w:p w:rsidR="001D7D59" w:rsidRDefault="006A6F8D" w:rsidP="00BE0F7B">
      <w:pPr>
        <w:jc w:val="center"/>
        <w:rPr>
          <w:b/>
          <w:bCs/>
        </w:rPr>
      </w:pPr>
      <w:r>
        <w:rPr>
          <w:b/>
          <w:bCs/>
        </w:rPr>
        <w:t>Francisco Juárez Piña</w:t>
      </w:r>
      <w:r w:rsidR="001D7D59">
        <w:rPr>
          <w:b/>
          <w:bCs/>
        </w:rPr>
        <w:t>.</w:t>
      </w:r>
    </w:p>
    <w:p w:rsidR="001D7D59" w:rsidRPr="001D7D59" w:rsidRDefault="001D7D59" w:rsidP="00BE0F7B">
      <w:pPr>
        <w:jc w:val="center"/>
      </w:pPr>
      <w:r w:rsidRPr="001D7D59">
        <w:t xml:space="preserve">Regidor y Vocal de la Comisión Edilicia de </w:t>
      </w:r>
      <w:r w:rsidR="006A6F8D">
        <w:t>Asuntos Metropolitanos</w:t>
      </w:r>
      <w:r w:rsidRPr="001D7D59">
        <w:t>.</w:t>
      </w:r>
    </w:p>
    <w:p w:rsidR="001D7D59" w:rsidRDefault="001D7D59" w:rsidP="00BE0F7B">
      <w:pPr>
        <w:jc w:val="center"/>
      </w:pPr>
    </w:p>
    <w:p w:rsidR="008E2B24" w:rsidRPr="001D7D59" w:rsidRDefault="008E2B24" w:rsidP="00BE0F7B">
      <w:pPr>
        <w:jc w:val="center"/>
      </w:pPr>
    </w:p>
    <w:p w:rsidR="00620CEC" w:rsidRDefault="00620CEC" w:rsidP="00BE0F7B">
      <w:pPr>
        <w:jc w:val="center"/>
      </w:pPr>
    </w:p>
    <w:p w:rsidR="00620CEC" w:rsidRPr="00F15673" w:rsidRDefault="006A6F8D" w:rsidP="00BE0F7B">
      <w:pPr>
        <w:jc w:val="center"/>
        <w:rPr>
          <w:b/>
          <w:bCs/>
        </w:rPr>
      </w:pPr>
      <w:r>
        <w:rPr>
          <w:b/>
          <w:bCs/>
        </w:rPr>
        <w:t>Alberto Maldonado Chavarín</w:t>
      </w:r>
      <w:r w:rsidR="00620CEC" w:rsidRPr="00F15673">
        <w:rPr>
          <w:b/>
          <w:bCs/>
        </w:rPr>
        <w:t>.</w:t>
      </w:r>
    </w:p>
    <w:p w:rsidR="00620CEC" w:rsidRDefault="00620CEC" w:rsidP="00BE0F7B">
      <w:pPr>
        <w:jc w:val="center"/>
      </w:pPr>
      <w:r>
        <w:t xml:space="preserve">Regidor y Vocal de la Comisión Edilicia de </w:t>
      </w:r>
      <w:r w:rsidR="006A6F8D">
        <w:t>Asuntos Metropolitanos</w:t>
      </w:r>
      <w:r>
        <w:t>.</w:t>
      </w:r>
    </w:p>
    <w:p w:rsidR="00620CEC" w:rsidRDefault="00620CEC" w:rsidP="00BE0F7B">
      <w:pPr>
        <w:jc w:val="center"/>
      </w:pPr>
    </w:p>
    <w:p w:rsidR="00620CEC" w:rsidRDefault="00620CEC" w:rsidP="00620CEC"/>
    <w:p w:rsidR="00620CEC" w:rsidRDefault="00620CEC" w:rsidP="00620CEC">
      <w:pPr>
        <w:rPr>
          <w:b/>
          <w:bCs/>
        </w:rPr>
      </w:pPr>
      <w:r w:rsidRPr="00620CEC">
        <w:rPr>
          <w:b/>
          <w:bCs/>
        </w:rPr>
        <w:lastRenderedPageBreak/>
        <w:t>Fundamento Legal.</w:t>
      </w:r>
    </w:p>
    <w:p w:rsidR="00620CEC" w:rsidRDefault="00620CEC" w:rsidP="00620CEC">
      <w:pPr>
        <w:rPr>
          <w:b/>
          <w:bCs/>
        </w:rPr>
      </w:pPr>
    </w:p>
    <w:p w:rsidR="00620CEC" w:rsidRPr="00620CEC" w:rsidRDefault="00620CEC" w:rsidP="00620CEC">
      <w:pPr>
        <w:pStyle w:val="Prrafodelista"/>
        <w:numPr>
          <w:ilvl w:val="0"/>
          <w:numId w:val="1"/>
        </w:numPr>
        <w:rPr>
          <w:b/>
          <w:bCs/>
        </w:rPr>
      </w:pPr>
      <w:r>
        <w:t>Articulo 115 de la Constitución Política de los Estados Unidos Mexicanos.</w:t>
      </w:r>
    </w:p>
    <w:p w:rsidR="00620CEC" w:rsidRPr="00620CEC" w:rsidRDefault="00620CEC" w:rsidP="00620CEC">
      <w:pPr>
        <w:pStyle w:val="Prrafodelista"/>
        <w:rPr>
          <w:b/>
          <w:bCs/>
        </w:rPr>
      </w:pPr>
    </w:p>
    <w:p w:rsidR="00620CEC" w:rsidRPr="00620CEC" w:rsidRDefault="00620CEC" w:rsidP="00620CEC">
      <w:pPr>
        <w:pStyle w:val="Prrafodelista"/>
        <w:numPr>
          <w:ilvl w:val="0"/>
          <w:numId w:val="1"/>
        </w:numPr>
        <w:rPr>
          <w:b/>
          <w:bCs/>
        </w:rPr>
      </w:pPr>
      <w:r>
        <w:t>Articulo 73 de la Constitución Política del Estado de Jalisco.</w:t>
      </w:r>
    </w:p>
    <w:p w:rsidR="00620CEC" w:rsidRPr="00620CEC" w:rsidRDefault="00620CEC" w:rsidP="00620CEC">
      <w:pPr>
        <w:pStyle w:val="Prrafodelista"/>
        <w:rPr>
          <w:b/>
          <w:bCs/>
        </w:rPr>
      </w:pPr>
    </w:p>
    <w:p w:rsidR="00620CEC" w:rsidRPr="00346352" w:rsidRDefault="00346352" w:rsidP="00620CEC">
      <w:pPr>
        <w:pStyle w:val="Prrafodelista"/>
        <w:numPr>
          <w:ilvl w:val="0"/>
          <w:numId w:val="1"/>
        </w:numPr>
        <w:rPr>
          <w:b/>
          <w:bCs/>
        </w:rPr>
      </w:pPr>
      <w:r>
        <w:t>Artículos 27 y 50 de la Ley del Gobierno y de la Administración Pública del Estado de Jalisco y sus Municipios.</w:t>
      </w:r>
    </w:p>
    <w:p w:rsidR="00346352" w:rsidRPr="00346352" w:rsidRDefault="00346352" w:rsidP="00346352">
      <w:pPr>
        <w:pStyle w:val="Prrafodelista"/>
        <w:rPr>
          <w:b/>
          <w:bCs/>
        </w:rPr>
      </w:pPr>
    </w:p>
    <w:p w:rsidR="00346352" w:rsidRPr="00346352" w:rsidRDefault="00346352" w:rsidP="00620CEC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Artículos 92 fracción </w:t>
      </w:r>
      <w:r w:rsidR="006A6F8D">
        <w:t>XXVI</w:t>
      </w:r>
      <w:r>
        <w:t xml:space="preserve"> y </w:t>
      </w:r>
      <w:r w:rsidR="006A6F8D">
        <w:t>119</w:t>
      </w:r>
      <w:r w:rsidR="00827ECF">
        <w:t xml:space="preserve"> fracciones I, II, III, IV</w:t>
      </w:r>
      <w:r w:rsidR="006A6F8D">
        <w:t xml:space="preserve"> y</w:t>
      </w:r>
      <w:r w:rsidR="00827ECF">
        <w:t xml:space="preserve"> V</w:t>
      </w:r>
      <w:r w:rsidR="006A6F8D">
        <w:t xml:space="preserve"> </w:t>
      </w:r>
      <w:r w:rsidR="00EA1998">
        <w:t>del</w:t>
      </w:r>
      <w:r>
        <w:t xml:space="preserve"> Reglamento del Gobierno y de la Administración Pública del Ayuntamiento Constitucional de San Pedro Tlaquepaque.</w:t>
      </w:r>
    </w:p>
    <w:p w:rsidR="00346352" w:rsidRPr="00346352" w:rsidRDefault="00346352" w:rsidP="00346352">
      <w:pPr>
        <w:pStyle w:val="Prrafodelista"/>
        <w:rPr>
          <w:b/>
          <w:bCs/>
        </w:rPr>
      </w:pPr>
    </w:p>
    <w:p w:rsidR="00346352" w:rsidRDefault="00346352" w:rsidP="00346352">
      <w:pPr>
        <w:rPr>
          <w:b/>
          <w:bCs/>
        </w:rPr>
      </w:pPr>
    </w:p>
    <w:p w:rsidR="00346352" w:rsidRDefault="00346352" w:rsidP="00346352">
      <w:pPr>
        <w:ind w:left="360"/>
        <w:rPr>
          <w:b/>
          <w:bCs/>
        </w:rPr>
      </w:pPr>
      <w:r>
        <w:rPr>
          <w:b/>
          <w:bCs/>
        </w:rPr>
        <w:t>Objetivo General.</w:t>
      </w:r>
    </w:p>
    <w:p w:rsidR="00346352" w:rsidRDefault="00346352" w:rsidP="00346352">
      <w:pPr>
        <w:ind w:left="360"/>
        <w:rPr>
          <w:b/>
          <w:bCs/>
        </w:rPr>
      </w:pPr>
    </w:p>
    <w:p w:rsidR="00346352" w:rsidRDefault="00346352" w:rsidP="00346352">
      <w:pPr>
        <w:ind w:left="360"/>
      </w:pPr>
      <w:r>
        <w:t xml:space="preserve">Presentar Iniciativas de instrumentos regulatorios y dictámenes que sean necesarios para el fortalecimiento del gobierno, la administración y la gestión pública municipal en </w:t>
      </w:r>
      <w:r w:rsidR="008E2B24">
        <w:t>relación con</w:t>
      </w:r>
      <w:r w:rsidR="006A6F8D">
        <w:t xml:space="preserve"> el ámbito metropolitano</w:t>
      </w:r>
      <w:r w:rsidR="00EA1998">
        <w:t xml:space="preserve"> y </w:t>
      </w:r>
      <w:r w:rsidR="008E2B24">
        <w:t xml:space="preserve">que se encuentren en armonía </w:t>
      </w:r>
      <w:r w:rsidR="00EA1998">
        <w:t xml:space="preserve"> con el</w:t>
      </w:r>
      <w:r>
        <w:t xml:space="preserve"> Reglamento del Gobierno y de la Administración Pública del Ayuntamiento Constitucional de San Pedro Tlaquepaque.</w:t>
      </w:r>
    </w:p>
    <w:p w:rsidR="00346352" w:rsidRDefault="00346352" w:rsidP="00346352">
      <w:pPr>
        <w:ind w:left="360"/>
      </w:pPr>
    </w:p>
    <w:p w:rsidR="00346352" w:rsidRDefault="00346352" w:rsidP="00346352">
      <w:pPr>
        <w:ind w:left="360"/>
      </w:pPr>
    </w:p>
    <w:p w:rsidR="00346352" w:rsidRPr="00346352" w:rsidRDefault="00346352" w:rsidP="00346352">
      <w:pPr>
        <w:ind w:left="360"/>
        <w:rPr>
          <w:b/>
          <w:bCs/>
        </w:rPr>
      </w:pPr>
      <w:r w:rsidRPr="00346352">
        <w:rPr>
          <w:b/>
          <w:bCs/>
        </w:rPr>
        <w:t>Objetivos Específicos.</w:t>
      </w:r>
    </w:p>
    <w:p w:rsidR="00660783" w:rsidRDefault="00660783" w:rsidP="001D7D59"/>
    <w:p w:rsidR="006A6F8D" w:rsidRPr="006A6F8D" w:rsidRDefault="006A6F8D" w:rsidP="006A6F8D">
      <w:pPr>
        <w:suppressAutoHyphens/>
        <w:autoSpaceDE w:val="0"/>
        <w:spacing w:line="276" w:lineRule="auto"/>
        <w:ind w:left="851"/>
        <w:jc w:val="both"/>
        <w:rPr>
          <w:rFonts w:eastAsia="Times New Roman" w:cs="Arial"/>
          <w:szCs w:val="24"/>
          <w:lang w:val="es-ES" w:eastAsia="ar-SA"/>
        </w:rPr>
      </w:pPr>
      <w:r w:rsidRPr="006A6F8D">
        <w:rPr>
          <w:rFonts w:eastAsia="Times New Roman" w:cs="Arial"/>
          <w:b/>
          <w:bCs/>
          <w:szCs w:val="24"/>
          <w:lang w:val="es-ES" w:eastAsia="ar-SA"/>
        </w:rPr>
        <w:t xml:space="preserve">I. </w:t>
      </w:r>
      <w:r w:rsidRPr="006A6F8D">
        <w:rPr>
          <w:rFonts w:eastAsia="Times New Roman" w:cs="Arial"/>
          <w:szCs w:val="24"/>
          <w:lang w:val="es-ES" w:eastAsia="ar-SA"/>
        </w:rPr>
        <w:t>Velar por la aplicación y observancia de las disposiciones legales en la materia</w:t>
      </w:r>
      <w:r>
        <w:rPr>
          <w:rFonts w:eastAsia="Times New Roman" w:cs="Arial"/>
          <w:szCs w:val="24"/>
          <w:lang w:val="es-ES" w:eastAsia="ar-SA"/>
        </w:rPr>
        <w:t>.</w:t>
      </w:r>
    </w:p>
    <w:p w:rsidR="006A6F8D" w:rsidRPr="006A6F8D" w:rsidRDefault="006A6F8D" w:rsidP="006A6F8D">
      <w:pPr>
        <w:suppressAutoHyphens/>
        <w:autoSpaceDE w:val="0"/>
        <w:spacing w:line="276" w:lineRule="auto"/>
        <w:ind w:left="851"/>
        <w:jc w:val="both"/>
        <w:rPr>
          <w:rFonts w:eastAsia="Times New Roman" w:cs="Arial"/>
          <w:b/>
          <w:bCs/>
          <w:szCs w:val="24"/>
          <w:lang w:val="es-ES" w:eastAsia="ar-SA"/>
        </w:rPr>
      </w:pPr>
    </w:p>
    <w:p w:rsidR="006A6F8D" w:rsidRPr="006A6F8D" w:rsidRDefault="006A6F8D" w:rsidP="006A6F8D">
      <w:pPr>
        <w:suppressAutoHyphens/>
        <w:autoSpaceDE w:val="0"/>
        <w:spacing w:line="276" w:lineRule="auto"/>
        <w:ind w:left="851"/>
        <w:jc w:val="both"/>
        <w:rPr>
          <w:rFonts w:eastAsia="Times New Roman" w:cs="Arial"/>
          <w:szCs w:val="24"/>
          <w:lang w:val="es-ES" w:eastAsia="ar-SA"/>
        </w:rPr>
      </w:pPr>
      <w:r w:rsidRPr="006A6F8D">
        <w:rPr>
          <w:rFonts w:eastAsia="Times New Roman" w:cs="Arial"/>
          <w:b/>
          <w:bCs/>
          <w:szCs w:val="24"/>
          <w:lang w:val="es-ES" w:eastAsia="ar-SA"/>
        </w:rPr>
        <w:t xml:space="preserve">II. </w:t>
      </w:r>
      <w:r w:rsidRPr="006A6F8D">
        <w:rPr>
          <w:rFonts w:eastAsia="Times New Roman" w:cs="Arial"/>
          <w:szCs w:val="24"/>
          <w:lang w:val="es-ES" w:eastAsia="ar-SA"/>
        </w:rPr>
        <w:t>Proponer y dictaminar las iniciativas que en la materia sean sometidas a consideración del Ayuntamiento</w:t>
      </w:r>
      <w:r>
        <w:rPr>
          <w:rFonts w:eastAsia="Times New Roman" w:cs="Arial"/>
          <w:szCs w:val="24"/>
          <w:lang w:val="es-ES" w:eastAsia="ar-SA"/>
        </w:rPr>
        <w:t>.</w:t>
      </w:r>
    </w:p>
    <w:p w:rsidR="006A6F8D" w:rsidRPr="006A6F8D" w:rsidRDefault="006A6F8D" w:rsidP="006A6F8D">
      <w:pPr>
        <w:suppressAutoHyphens/>
        <w:autoSpaceDE w:val="0"/>
        <w:spacing w:line="276" w:lineRule="auto"/>
        <w:ind w:left="851"/>
        <w:jc w:val="both"/>
        <w:rPr>
          <w:rFonts w:eastAsia="Times New Roman" w:cs="Arial"/>
          <w:b/>
          <w:bCs/>
          <w:szCs w:val="24"/>
          <w:lang w:val="es-ES" w:eastAsia="ar-SA"/>
        </w:rPr>
      </w:pPr>
    </w:p>
    <w:p w:rsidR="006A6F8D" w:rsidRPr="006A6F8D" w:rsidRDefault="006A6F8D" w:rsidP="006A6F8D">
      <w:pPr>
        <w:suppressAutoHyphens/>
        <w:autoSpaceDE w:val="0"/>
        <w:spacing w:line="276" w:lineRule="auto"/>
        <w:ind w:left="851"/>
        <w:jc w:val="both"/>
        <w:rPr>
          <w:rFonts w:eastAsia="Times New Roman" w:cs="Arial"/>
          <w:szCs w:val="24"/>
          <w:lang w:val="es-ES" w:eastAsia="ar-SA"/>
        </w:rPr>
      </w:pPr>
      <w:r w:rsidRPr="006A6F8D">
        <w:rPr>
          <w:rFonts w:eastAsia="Times New Roman" w:cs="Arial"/>
          <w:b/>
          <w:bCs/>
          <w:szCs w:val="24"/>
          <w:lang w:val="es-ES" w:eastAsia="ar-SA"/>
        </w:rPr>
        <w:t xml:space="preserve">III. </w:t>
      </w:r>
      <w:r w:rsidRPr="006A6F8D">
        <w:rPr>
          <w:rFonts w:eastAsia="Times New Roman" w:cs="Arial"/>
          <w:szCs w:val="24"/>
          <w:lang w:val="es-ES" w:eastAsia="ar-SA"/>
        </w:rPr>
        <w:t>Realizar los estudios pertinentes respecto del tema de la metropolización a efecto de orientar la política que en esta materia deba emprender el Municipio</w:t>
      </w:r>
      <w:r>
        <w:rPr>
          <w:rFonts w:eastAsia="Times New Roman" w:cs="Arial"/>
          <w:szCs w:val="24"/>
          <w:lang w:val="es-ES" w:eastAsia="ar-SA"/>
        </w:rPr>
        <w:t>.</w:t>
      </w:r>
    </w:p>
    <w:p w:rsidR="006A6F8D" w:rsidRPr="006A6F8D" w:rsidRDefault="006A6F8D" w:rsidP="006A6F8D">
      <w:pPr>
        <w:suppressAutoHyphens/>
        <w:autoSpaceDE w:val="0"/>
        <w:spacing w:line="276" w:lineRule="auto"/>
        <w:ind w:left="851"/>
        <w:jc w:val="both"/>
        <w:rPr>
          <w:rFonts w:eastAsia="Times New Roman" w:cs="Arial"/>
          <w:b/>
          <w:bCs/>
          <w:szCs w:val="24"/>
          <w:lang w:val="es-ES" w:eastAsia="ar-SA"/>
        </w:rPr>
      </w:pPr>
    </w:p>
    <w:p w:rsidR="006A6F8D" w:rsidRPr="006A6F8D" w:rsidRDefault="006A6F8D" w:rsidP="006A6F8D">
      <w:pPr>
        <w:suppressAutoHyphens/>
        <w:autoSpaceDE w:val="0"/>
        <w:spacing w:line="276" w:lineRule="auto"/>
        <w:ind w:left="851"/>
        <w:jc w:val="both"/>
        <w:rPr>
          <w:rFonts w:eastAsia="Times New Roman" w:cs="Arial"/>
          <w:szCs w:val="24"/>
          <w:lang w:val="es-ES" w:eastAsia="ar-SA"/>
        </w:rPr>
      </w:pPr>
      <w:r w:rsidRPr="006A6F8D">
        <w:rPr>
          <w:rFonts w:eastAsia="Times New Roman" w:cs="Arial"/>
          <w:b/>
          <w:bCs/>
          <w:szCs w:val="24"/>
          <w:lang w:val="es-ES" w:eastAsia="ar-SA"/>
        </w:rPr>
        <w:t xml:space="preserve">IV. </w:t>
      </w:r>
      <w:r w:rsidRPr="006A6F8D">
        <w:rPr>
          <w:rFonts w:eastAsia="Times New Roman" w:cs="Arial"/>
          <w:szCs w:val="24"/>
          <w:lang w:val="es-ES" w:eastAsia="ar-SA"/>
        </w:rPr>
        <w:t>Estudiar la conveniencia y promover la celebración de convenios de coordinación y colaboración en el ejercicio de la función pública, entre los Municipios que integran la Zona Metropolitana de Guadalajara</w:t>
      </w:r>
      <w:r>
        <w:rPr>
          <w:rFonts w:eastAsia="Times New Roman" w:cs="Arial"/>
          <w:szCs w:val="24"/>
          <w:lang w:val="es-ES" w:eastAsia="ar-SA"/>
        </w:rPr>
        <w:t>.</w:t>
      </w:r>
    </w:p>
    <w:p w:rsidR="006A6F8D" w:rsidRPr="006A6F8D" w:rsidRDefault="006A6F8D" w:rsidP="006A6F8D">
      <w:pPr>
        <w:tabs>
          <w:tab w:val="left" w:pos="709"/>
        </w:tabs>
        <w:suppressAutoHyphens/>
        <w:autoSpaceDE w:val="0"/>
        <w:spacing w:line="276" w:lineRule="auto"/>
        <w:ind w:left="851"/>
        <w:jc w:val="both"/>
        <w:rPr>
          <w:rFonts w:eastAsia="Times New Roman" w:cs="Arial"/>
          <w:b/>
          <w:bCs/>
          <w:szCs w:val="24"/>
          <w:lang w:val="es-ES" w:eastAsia="ar-SA"/>
        </w:rPr>
      </w:pPr>
    </w:p>
    <w:p w:rsidR="006A6F8D" w:rsidRDefault="006A6F8D" w:rsidP="001D7D59"/>
    <w:p w:rsidR="008E2B24" w:rsidRDefault="008E2B24" w:rsidP="001D7D59"/>
    <w:p w:rsidR="00633DDA" w:rsidRDefault="00633DDA" w:rsidP="00743C0F">
      <w:pPr>
        <w:pStyle w:val="Prrafodelista"/>
      </w:pPr>
    </w:p>
    <w:tbl>
      <w:tblPr>
        <w:tblStyle w:val="Tablaconcuadrcula"/>
        <w:tblW w:w="15451" w:type="dxa"/>
        <w:tblInd w:w="-147" w:type="dxa"/>
        <w:tblLook w:val="04A0" w:firstRow="1" w:lastRow="0" w:firstColumn="1" w:lastColumn="0" w:noHBand="0" w:noVBand="1"/>
      </w:tblPr>
      <w:tblGrid>
        <w:gridCol w:w="1148"/>
        <w:gridCol w:w="754"/>
        <w:gridCol w:w="759"/>
        <w:gridCol w:w="677"/>
        <w:gridCol w:w="740"/>
        <w:gridCol w:w="725"/>
        <w:gridCol w:w="802"/>
        <w:gridCol w:w="749"/>
        <w:gridCol w:w="783"/>
        <w:gridCol w:w="725"/>
        <w:gridCol w:w="701"/>
        <w:gridCol w:w="768"/>
        <w:gridCol w:w="706"/>
        <w:gridCol w:w="754"/>
        <w:gridCol w:w="1489"/>
        <w:gridCol w:w="1013"/>
        <w:gridCol w:w="898"/>
        <w:gridCol w:w="1585"/>
      </w:tblGrid>
      <w:tr w:rsidR="00814E6F" w:rsidTr="00814E6F">
        <w:trPr>
          <w:trHeight w:val="138"/>
        </w:trPr>
        <w:tc>
          <w:tcPr>
            <w:tcW w:w="441" w:type="dxa"/>
            <w:vMerge w:val="restart"/>
          </w:tcPr>
          <w:p w:rsidR="00633DDA" w:rsidRDefault="00633DDA" w:rsidP="00633DDA">
            <w:pPr>
              <w:jc w:val="center"/>
              <w:rPr>
                <w:b/>
                <w:bCs/>
              </w:rPr>
            </w:pPr>
          </w:p>
          <w:p w:rsidR="00F15673" w:rsidRDefault="00F15673" w:rsidP="00633DDA">
            <w:pPr>
              <w:jc w:val="center"/>
              <w:rPr>
                <w:b/>
                <w:bCs/>
              </w:rPr>
            </w:pPr>
          </w:p>
          <w:p w:rsidR="00F15673" w:rsidRDefault="00F15673" w:rsidP="00633DDA">
            <w:pPr>
              <w:jc w:val="center"/>
              <w:rPr>
                <w:b/>
                <w:bCs/>
              </w:rPr>
            </w:pPr>
          </w:p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Acción.</w:t>
            </w:r>
          </w:p>
        </w:tc>
        <w:tc>
          <w:tcPr>
            <w:tcW w:w="2248" w:type="dxa"/>
            <w:gridSpan w:val="3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2019</w:t>
            </w:r>
          </w:p>
        </w:tc>
        <w:tc>
          <w:tcPr>
            <w:tcW w:w="7545" w:type="dxa"/>
            <w:gridSpan w:val="10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2020</w:t>
            </w:r>
          </w:p>
        </w:tc>
        <w:tc>
          <w:tcPr>
            <w:tcW w:w="1489" w:type="dxa"/>
          </w:tcPr>
          <w:p w:rsidR="00633DDA" w:rsidRPr="00633DDA" w:rsidRDefault="00633DDA" w:rsidP="00660783">
            <w:pPr>
              <w:rPr>
                <w:b/>
                <w:bCs/>
              </w:rPr>
            </w:pPr>
            <w:r w:rsidRPr="00633DDA">
              <w:rPr>
                <w:b/>
                <w:bCs/>
              </w:rPr>
              <w:t>Indicador.</w:t>
            </w:r>
          </w:p>
        </w:tc>
        <w:tc>
          <w:tcPr>
            <w:tcW w:w="1157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Meta</w:t>
            </w:r>
          </w:p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Anual.</w:t>
            </w:r>
          </w:p>
        </w:tc>
        <w:tc>
          <w:tcPr>
            <w:tcW w:w="986" w:type="dxa"/>
          </w:tcPr>
          <w:p w:rsidR="00633DDA" w:rsidRPr="00633DDA" w:rsidRDefault="00814E6F" w:rsidP="00814E6F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Línea</w:t>
            </w:r>
          </w:p>
          <w:p w:rsidR="00633DDA" w:rsidRPr="00633DDA" w:rsidRDefault="00633DDA" w:rsidP="00814E6F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Base.</w:t>
            </w:r>
          </w:p>
        </w:tc>
        <w:tc>
          <w:tcPr>
            <w:tcW w:w="1585" w:type="dxa"/>
          </w:tcPr>
          <w:p w:rsidR="00633DDA" w:rsidRPr="00633DDA" w:rsidRDefault="00633DDA" w:rsidP="00814E6F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Resultados</w:t>
            </w:r>
          </w:p>
        </w:tc>
      </w:tr>
      <w:tr w:rsidR="00814E6F" w:rsidTr="00814E6F">
        <w:trPr>
          <w:trHeight w:val="138"/>
        </w:trPr>
        <w:tc>
          <w:tcPr>
            <w:tcW w:w="441" w:type="dxa"/>
            <w:vMerge/>
          </w:tcPr>
          <w:p w:rsidR="00633DDA" w:rsidRDefault="00633DDA" w:rsidP="00633DDA">
            <w:pPr>
              <w:jc w:val="center"/>
              <w:rPr>
                <w:b/>
                <w:bCs/>
              </w:rPr>
            </w:pPr>
          </w:p>
        </w:tc>
        <w:tc>
          <w:tcPr>
            <w:tcW w:w="754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O</w:t>
            </w:r>
            <w:r>
              <w:rPr>
                <w:b/>
                <w:bCs/>
              </w:rPr>
              <w:t>CT</w:t>
            </w:r>
          </w:p>
        </w:tc>
        <w:tc>
          <w:tcPr>
            <w:tcW w:w="768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N</w:t>
            </w:r>
            <w:r>
              <w:rPr>
                <w:b/>
                <w:bCs/>
              </w:rPr>
              <w:t>OV</w:t>
            </w:r>
          </w:p>
        </w:tc>
        <w:tc>
          <w:tcPr>
            <w:tcW w:w="726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D</w:t>
            </w:r>
            <w:r>
              <w:rPr>
                <w:b/>
                <w:bCs/>
              </w:rPr>
              <w:t>IC</w:t>
            </w:r>
          </w:p>
        </w:tc>
        <w:tc>
          <w:tcPr>
            <w:tcW w:w="740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ENE</w:t>
            </w:r>
          </w:p>
        </w:tc>
        <w:tc>
          <w:tcPr>
            <w:tcW w:w="725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FEB</w:t>
            </w:r>
          </w:p>
        </w:tc>
        <w:tc>
          <w:tcPr>
            <w:tcW w:w="802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MAR</w:t>
            </w:r>
          </w:p>
        </w:tc>
        <w:tc>
          <w:tcPr>
            <w:tcW w:w="814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ABR</w:t>
            </w:r>
          </w:p>
        </w:tc>
        <w:tc>
          <w:tcPr>
            <w:tcW w:w="810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MAY</w:t>
            </w:r>
          </w:p>
        </w:tc>
        <w:tc>
          <w:tcPr>
            <w:tcW w:w="725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JUN</w:t>
            </w:r>
          </w:p>
        </w:tc>
        <w:tc>
          <w:tcPr>
            <w:tcW w:w="701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JUL</w:t>
            </w:r>
          </w:p>
        </w:tc>
        <w:tc>
          <w:tcPr>
            <w:tcW w:w="768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AGO</w:t>
            </w:r>
          </w:p>
        </w:tc>
        <w:tc>
          <w:tcPr>
            <w:tcW w:w="706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 xml:space="preserve">SEP </w:t>
            </w:r>
          </w:p>
        </w:tc>
        <w:tc>
          <w:tcPr>
            <w:tcW w:w="754" w:type="dxa"/>
          </w:tcPr>
          <w:p w:rsidR="00633DDA" w:rsidRPr="00633DDA" w:rsidRDefault="00633DDA" w:rsidP="00633DDA">
            <w:pPr>
              <w:jc w:val="center"/>
              <w:rPr>
                <w:b/>
                <w:bCs/>
              </w:rPr>
            </w:pPr>
            <w:r w:rsidRPr="00633DDA">
              <w:rPr>
                <w:b/>
                <w:bCs/>
              </w:rPr>
              <w:t>OCT</w:t>
            </w:r>
          </w:p>
        </w:tc>
        <w:tc>
          <w:tcPr>
            <w:tcW w:w="1489" w:type="dxa"/>
            <w:vMerge w:val="restart"/>
          </w:tcPr>
          <w:p w:rsidR="00F15673" w:rsidRDefault="00F15673" w:rsidP="00814E6F">
            <w:pPr>
              <w:jc w:val="center"/>
            </w:pPr>
          </w:p>
          <w:p w:rsidR="00F15673" w:rsidRDefault="00F15673" w:rsidP="00814E6F">
            <w:pPr>
              <w:jc w:val="center"/>
            </w:pPr>
          </w:p>
          <w:p w:rsidR="00633DDA" w:rsidRPr="00814E6F" w:rsidRDefault="00814E6F" w:rsidP="00814E6F">
            <w:pPr>
              <w:jc w:val="center"/>
            </w:pPr>
            <w:r>
              <w:t>Sesiones.</w:t>
            </w:r>
          </w:p>
        </w:tc>
        <w:tc>
          <w:tcPr>
            <w:tcW w:w="1157" w:type="dxa"/>
            <w:vMerge w:val="restart"/>
          </w:tcPr>
          <w:p w:rsidR="00F15673" w:rsidRDefault="00F15673" w:rsidP="00814E6F">
            <w:pPr>
              <w:jc w:val="center"/>
            </w:pPr>
          </w:p>
          <w:p w:rsidR="00F15673" w:rsidRDefault="00F15673" w:rsidP="00814E6F">
            <w:pPr>
              <w:jc w:val="center"/>
            </w:pPr>
          </w:p>
          <w:p w:rsidR="00633DDA" w:rsidRPr="00814E6F" w:rsidRDefault="00827ECF" w:rsidP="00814E6F">
            <w:pPr>
              <w:jc w:val="center"/>
            </w:pPr>
            <w:r>
              <w:t>11</w:t>
            </w:r>
          </w:p>
          <w:p w:rsidR="00814E6F" w:rsidRPr="00633DDA" w:rsidRDefault="00814E6F" w:rsidP="00814E6F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vMerge w:val="restart"/>
          </w:tcPr>
          <w:p w:rsidR="00F15673" w:rsidRDefault="00F15673" w:rsidP="00814E6F">
            <w:pPr>
              <w:jc w:val="center"/>
            </w:pPr>
          </w:p>
          <w:p w:rsidR="00F15673" w:rsidRDefault="00F15673" w:rsidP="00814E6F">
            <w:pPr>
              <w:jc w:val="center"/>
            </w:pPr>
          </w:p>
          <w:p w:rsidR="00633DDA" w:rsidRPr="00814E6F" w:rsidRDefault="00814E6F" w:rsidP="00814E6F">
            <w:pPr>
              <w:jc w:val="center"/>
            </w:pPr>
            <w:r w:rsidRPr="00814E6F">
              <w:t>100%</w:t>
            </w:r>
          </w:p>
        </w:tc>
        <w:tc>
          <w:tcPr>
            <w:tcW w:w="1585" w:type="dxa"/>
            <w:vMerge w:val="restart"/>
          </w:tcPr>
          <w:p w:rsidR="00633DDA" w:rsidRPr="00633DDA" w:rsidRDefault="00633DDA" w:rsidP="00660783">
            <w:pPr>
              <w:rPr>
                <w:b/>
                <w:bCs/>
              </w:rPr>
            </w:pPr>
          </w:p>
        </w:tc>
      </w:tr>
      <w:tr w:rsidR="00814E6F" w:rsidTr="00F15673">
        <w:trPr>
          <w:trHeight w:val="937"/>
        </w:trPr>
        <w:tc>
          <w:tcPr>
            <w:tcW w:w="441" w:type="dxa"/>
            <w:vMerge/>
          </w:tcPr>
          <w:p w:rsidR="00633DDA" w:rsidRDefault="00633DDA" w:rsidP="00633DDA">
            <w:pPr>
              <w:jc w:val="center"/>
              <w:rPr>
                <w:b/>
                <w:bCs/>
              </w:rPr>
            </w:pPr>
          </w:p>
        </w:tc>
        <w:tc>
          <w:tcPr>
            <w:tcW w:w="754" w:type="dxa"/>
          </w:tcPr>
          <w:p w:rsidR="008E2B24" w:rsidRDefault="008E2B24" w:rsidP="00633DDA">
            <w:pPr>
              <w:jc w:val="center"/>
            </w:pPr>
          </w:p>
          <w:p w:rsidR="00633DDA" w:rsidRDefault="008E2B24" w:rsidP="00633DDA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827ECF" w:rsidRDefault="00827ECF" w:rsidP="00633DDA">
            <w:pPr>
              <w:jc w:val="center"/>
            </w:pPr>
          </w:p>
          <w:p w:rsidR="00633DDA" w:rsidRDefault="00633DDA" w:rsidP="00633DDA">
            <w:pPr>
              <w:jc w:val="center"/>
            </w:pPr>
          </w:p>
        </w:tc>
        <w:tc>
          <w:tcPr>
            <w:tcW w:w="726" w:type="dxa"/>
          </w:tcPr>
          <w:p w:rsidR="00633DDA" w:rsidRDefault="00633DDA" w:rsidP="00633DDA">
            <w:pPr>
              <w:jc w:val="center"/>
            </w:pPr>
          </w:p>
        </w:tc>
        <w:tc>
          <w:tcPr>
            <w:tcW w:w="740" w:type="dxa"/>
          </w:tcPr>
          <w:p w:rsidR="00F15673" w:rsidRDefault="00F15673" w:rsidP="00633DDA">
            <w:pPr>
              <w:jc w:val="center"/>
            </w:pPr>
          </w:p>
          <w:p w:rsidR="00F15673" w:rsidRDefault="00F15673" w:rsidP="00633DDA">
            <w:pPr>
              <w:jc w:val="center"/>
            </w:pPr>
            <w:r>
              <w:t>1</w:t>
            </w:r>
          </w:p>
          <w:p w:rsidR="00F15673" w:rsidRDefault="00F15673" w:rsidP="00633DDA">
            <w:pPr>
              <w:jc w:val="center"/>
            </w:pPr>
          </w:p>
          <w:p w:rsidR="00633DDA" w:rsidRDefault="00633DDA" w:rsidP="00633DDA">
            <w:pPr>
              <w:jc w:val="center"/>
            </w:pPr>
          </w:p>
        </w:tc>
        <w:tc>
          <w:tcPr>
            <w:tcW w:w="725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F15673" w:rsidRDefault="00F15673" w:rsidP="00633DDA">
            <w:pPr>
              <w:jc w:val="center"/>
            </w:pPr>
          </w:p>
          <w:p w:rsidR="00633DDA" w:rsidRDefault="00814E6F" w:rsidP="00633DDA">
            <w:pPr>
              <w:jc w:val="center"/>
            </w:pPr>
            <w:r>
              <w:t>1</w:t>
            </w:r>
          </w:p>
        </w:tc>
        <w:tc>
          <w:tcPr>
            <w:tcW w:w="1489" w:type="dxa"/>
            <w:vMerge/>
          </w:tcPr>
          <w:p w:rsidR="00633DDA" w:rsidRDefault="00633DDA" w:rsidP="00660783"/>
        </w:tc>
        <w:tc>
          <w:tcPr>
            <w:tcW w:w="1157" w:type="dxa"/>
            <w:vMerge/>
          </w:tcPr>
          <w:p w:rsidR="00633DDA" w:rsidRDefault="00633DDA" w:rsidP="00660783"/>
        </w:tc>
        <w:tc>
          <w:tcPr>
            <w:tcW w:w="986" w:type="dxa"/>
            <w:vMerge/>
          </w:tcPr>
          <w:p w:rsidR="00633DDA" w:rsidRDefault="00633DDA" w:rsidP="00660783"/>
        </w:tc>
        <w:tc>
          <w:tcPr>
            <w:tcW w:w="1585" w:type="dxa"/>
            <w:vMerge/>
          </w:tcPr>
          <w:p w:rsidR="00633DDA" w:rsidRDefault="00633DDA" w:rsidP="00660783"/>
        </w:tc>
      </w:tr>
    </w:tbl>
    <w:p w:rsidR="00743C0F" w:rsidRPr="00346352" w:rsidRDefault="00743C0F" w:rsidP="00660783"/>
    <w:p w:rsidR="00346352" w:rsidRDefault="00346352" w:rsidP="00346352">
      <w:pPr>
        <w:ind w:left="360"/>
      </w:pPr>
      <w:bookmarkStart w:id="0" w:name="_Hlk32405996"/>
      <w:bookmarkStart w:id="1" w:name="_GoBack"/>
    </w:p>
    <w:p w:rsidR="00620CEC" w:rsidRPr="00620CEC" w:rsidRDefault="00814E6F" w:rsidP="00620CEC">
      <w:r>
        <w:rPr>
          <w:b/>
          <w:bCs/>
        </w:rPr>
        <w:t xml:space="preserve">Nota: </w:t>
      </w:r>
      <w:r>
        <w:t>Se contemplan solamente las sesiones</w:t>
      </w:r>
      <w:r w:rsidR="005267F1">
        <w:t xml:space="preserve">, en virtud de que </w:t>
      </w:r>
      <w:r>
        <w:t>los turnos que emita el cabildo</w:t>
      </w:r>
      <w:r w:rsidR="005267F1">
        <w:t xml:space="preserve"> al ser un acontecimiento futuro,</w:t>
      </w:r>
      <w:r>
        <w:t xml:space="preserve"> no se pueden determinar,</w:t>
      </w:r>
      <w:r w:rsidR="005267F1">
        <w:t xml:space="preserve"> sin embargo, esta</w:t>
      </w:r>
      <w:r>
        <w:t xml:space="preserve"> información</w:t>
      </w:r>
      <w:r w:rsidR="005267F1">
        <w:t>,</w:t>
      </w:r>
      <w:r>
        <w:t xml:space="preserve"> en conjunto con las propuestas que sean hechas en las sesiones por los miembros de la comisión </w:t>
      </w:r>
      <w:r w:rsidR="00F15673">
        <w:t>serán</w:t>
      </w:r>
      <w:r>
        <w:t xml:space="preserve"> agregados en cada informe</w:t>
      </w:r>
      <w:r w:rsidR="005267F1">
        <w:t xml:space="preserve"> trimestral</w:t>
      </w:r>
      <w:r>
        <w:t>, según corresponda</w:t>
      </w:r>
      <w:bookmarkEnd w:id="0"/>
      <w:bookmarkEnd w:id="1"/>
      <w:r>
        <w:t>.</w:t>
      </w:r>
    </w:p>
    <w:sectPr w:rsidR="00620CEC" w:rsidRPr="00620CEC" w:rsidSect="00897D98">
      <w:headerReference w:type="default" r:id="rId8"/>
      <w:footerReference w:type="default" r:id="rId9"/>
      <w:pgSz w:w="19298" w:h="12240" w:orient="landscape" w:code="154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98" w:rsidRDefault="00897D98" w:rsidP="00897D98">
      <w:pPr>
        <w:spacing w:line="240" w:lineRule="auto"/>
      </w:pPr>
      <w:r>
        <w:separator/>
      </w:r>
    </w:p>
  </w:endnote>
  <w:endnote w:type="continuationSeparator" w:id="0">
    <w:p w:rsidR="00897D98" w:rsidRDefault="00897D98" w:rsidP="00897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ertAlign w:val="subscript"/>
      </w:rPr>
      <w:id w:val="7106752"/>
      <w:docPartObj>
        <w:docPartGallery w:val="Page Numbers (Bottom of Page)"/>
        <w:docPartUnique/>
      </w:docPartObj>
    </w:sdtPr>
    <w:sdtEndPr/>
    <w:sdtContent>
      <w:sdt>
        <w:sdtPr>
          <w:rPr>
            <w:vertAlign w:val="sub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0CEC" w:rsidRPr="00620CEC" w:rsidRDefault="00620CEC" w:rsidP="00620CEC">
            <w:pPr>
              <w:pStyle w:val="Piedepgina"/>
              <w:rPr>
                <w:vertAlign w:val="subscript"/>
              </w:rPr>
            </w:pPr>
          </w:p>
          <w:p w:rsidR="00620CEC" w:rsidRPr="00620CEC" w:rsidRDefault="00620CEC" w:rsidP="00620CEC">
            <w:pPr>
              <w:pStyle w:val="Piedepgina"/>
              <w:rPr>
                <w:b/>
                <w:bCs/>
                <w:vertAlign w:val="superscript"/>
              </w:rPr>
            </w:pPr>
            <w:r w:rsidRPr="00620CEC">
              <w:rPr>
                <w:b/>
                <w:bCs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620CEC" w:rsidRPr="00620CEC" w:rsidRDefault="00620CEC" w:rsidP="00620CEC">
            <w:pPr>
              <w:pStyle w:val="Piedepgina"/>
              <w:rPr>
                <w:vertAlign w:val="superscript"/>
              </w:rPr>
            </w:pPr>
            <w:r w:rsidRPr="00620CEC">
              <w:rPr>
                <w:vertAlign w:val="superscript"/>
              </w:rPr>
              <w:t xml:space="preserve">Esta hoja forma parte del Programa de Trabajo Anual de la Comisión Edilicia de </w:t>
            </w:r>
            <w:r w:rsidR="006A6F8D">
              <w:rPr>
                <w:vertAlign w:val="superscript"/>
              </w:rPr>
              <w:t>Asuntos Metropolitanos</w:t>
            </w:r>
            <w:r w:rsidRPr="00620CEC">
              <w:rPr>
                <w:vertAlign w:val="superscript"/>
              </w:rPr>
              <w:t xml:space="preserve"> de octubre del año 2019 a</w:t>
            </w:r>
            <w:r w:rsidR="006A6F8D">
              <w:rPr>
                <w:vertAlign w:val="superscript"/>
              </w:rPr>
              <w:t xml:space="preserve"> </w:t>
            </w:r>
            <w:r w:rsidRPr="00620CEC">
              <w:rPr>
                <w:vertAlign w:val="superscript"/>
              </w:rPr>
              <w:t>octubre del año 2020.</w:t>
            </w:r>
          </w:p>
          <w:p w:rsidR="00620CEC" w:rsidRPr="00620CEC" w:rsidRDefault="00620CEC">
            <w:pPr>
              <w:pStyle w:val="Piedepgina"/>
              <w:jc w:val="right"/>
              <w:rPr>
                <w:vertAlign w:val="subscript"/>
              </w:rPr>
            </w:pPr>
            <w:r w:rsidRPr="00620CEC">
              <w:rPr>
                <w:vertAlign w:val="subscript"/>
                <w:lang w:val="es-ES"/>
              </w:rPr>
              <w:t xml:space="preserve">Página </w:t>
            </w:r>
            <w:r w:rsidRPr="00620CEC">
              <w:rPr>
                <w:b/>
                <w:bCs/>
                <w:szCs w:val="24"/>
                <w:vertAlign w:val="subscript"/>
              </w:rPr>
              <w:fldChar w:fldCharType="begin"/>
            </w:r>
            <w:r w:rsidRPr="00620CEC">
              <w:rPr>
                <w:b/>
                <w:bCs/>
                <w:vertAlign w:val="subscript"/>
              </w:rPr>
              <w:instrText>PAGE</w:instrText>
            </w:r>
            <w:r w:rsidRPr="00620CEC">
              <w:rPr>
                <w:b/>
                <w:bCs/>
                <w:szCs w:val="24"/>
                <w:vertAlign w:val="subscript"/>
              </w:rPr>
              <w:fldChar w:fldCharType="separate"/>
            </w:r>
            <w:r w:rsidRPr="00620CEC">
              <w:rPr>
                <w:b/>
                <w:bCs/>
                <w:vertAlign w:val="subscript"/>
                <w:lang w:val="es-ES"/>
              </w:rPr>
              <w:t>2</w:t>
            </w:r>
            <w:r w:rsidRPr="00620CEC">
              <w:rPr>
                <w:b/>
                <w:bCs/>
                <w:szCs w:val="24"/>
                <w:vertAlign w:val="subscript"/>
              </w:rPr>
              <w:fldChar w:fldCharType="end"/>
            </w:r>
            <w:r w:rsidRPr="00620CEC">
              <w:rPr>
                <w:vertAlign w:val="subscript"/>
                <w:lang w:val="es-ES"/>
              </w:rPr>
              <w:t xml:space="preserve"> de </w:t>
            </w:r>
            <w:r w:rsidRPr="00620CEC">
              <w:rPr>
                <w:b/>
                <w:bCs/>
                <w:szCs w:val="24"/>
                <w:vertAlign w:val="subscript"/>
              </w:rPr>
              <w:fldChar w:fldCharType="begin"/>
            </w:r>
            <w:r w:rsidRPr="00620CEC">
              <w:rPr>
                <w:b/>
                <w:bCs/>
                <w:vertAlign w:val="subscript"/>
              </w:rPr>
              <w:instrText>NUMPAGES</w:instrText>
            </w:r>
            <w:r w:rsidRPr="00620CEC">
              <w:rPr>
                <w:b/>
                <w:bCs/>
                <w:szCs w:val="24"/>
                <w:vertAlign w:val="subscript"/>
              </w:rPr>
              <w:fldChar w:fldCharType="separate"/>
            </w:r>
            <w:r w:rsidRPr="00620CEC">
              <w:rPr>
                <w:b/>
                <w:bCs/>
                <w:vertAlign w:val="subscript"/>
                <w:lang w:val="es-ES"/>
              </w:rPr>
              <w:t>2</w:t>
            </w:r>
            <w:r w:rsidRPr="00620CEC">
              <w:rPr>
                <w:b/>
                <w:bCs/>
                <w:szCs w:val="24"/>
                <w:vertAlign w:val="subscript"/>
              </w:rPr>
              <w:fldChar w:fldCharType="end"/>
            </w:r>
          </w:p>
        </w:sdtContent>
      </w:sdt>
    </w:sdtContent>
  </w:sdt>
  <w:p w:rsidR="00620CEC" w:rsidRPr="00897D98" w:rsidRDefault="00620CEC" w:rsidP="00897D98">
    <w:pPr>
      <w:pStyle w:val="Piedepgina"/>
      <w:jc w:val="righ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98" w:rsidRDefault="00897D98" w:rsidP="00897D98">
      <w:pPr>
        <w:spacing w:line="240" w:lineRule="auto"/>
      </w:pPr>
      <w:r>
        <w:separator/>
      </w:r>
    </w:p>
  </w:footnote>
  <w:footnote w:type="continuationSeparator" w:id="0">
    <w:p w:rsidR="00897D98" w:rsidRDefault="00897D98" w:rsidP="00897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98" w:rsidRPr="00897D98" w:rsidRDefault="00897D98" w:rsidP="00897D98">
    <w:pPr>
      <w:pStyle w:val="Encabezado"/>
      <w:jc w:val="center"/>
      <w:rPr>
        <w:b/>
        <w:bCs/>
        <w:i/>
        <w:iCs/>
      </w:rPr>
    </w:pPr>
    <w:r w:rsidRPr="00897D98">
      <w:rPr>
        <w:b/>
        <w:bCs/>
        <w:i/>
        <w:iCs/>
      </w:rPr>
      <w:t xml:space="preserve">Programa de Trabajo Anual de la Comisión Edilicia de </w:t>
    </w:r>
    <w:r w:rsidR="006A6F8D">
      <w:rPr>
        <w:b/>
        <w:bCs/>
        <w:i/>
        <w:iCs/>
      </w:rPr>
      <w:t>Asuntos Metropolitanos</w:t>
    </w:r>
    <w:r w:rsidRPr="00897D98">
      <w:rPr>
        <w:b/>
        <w:bCs/>
        <w:i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12C"/>
    <w:multiLevelType w:val="hybridMultilevel"/>
    <w:tmpl w:val="0ED0931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4F6B"/>
    <w:multiLevelType w:val="hybridMultilevel"/>
    <w:tmpl w:val="453EAB3A"/>
    <w:lvl w:ilvl="0" w:tplc="83B42C5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8"/>
    <w:rsid w:val="001D7D59"/>
    <w:rsid w:val="00291521"/>
    <w:rsid w:val="00346352"/>
    <w:rsid w:val="004C3B52"/>
    <w:rsid w:val="005267F1"/>
    <w:rsid w:val="00620CEC"/>
    <w:rsid w:val="00633DDA"/>
    <w:rsid w:val="00660783"/>
    <w:rsid w:val="006A6F8D"/>
    <w:rsid w:val="00743C0F"/>
    <w:rsid w:val="00814E6F"/>
    <w:rsid w:val="00827ECF"/>
    <w:rsid w:val="00897D98"/>
    <w:rsid w:val="008B02B2"/>
    <w:rsid w:val="008E2B24"/>
    <w:rsid w:val="00BE0F7B"/>
    <w:rsid w:val="00EA1998"/>
    <w:rsid w:val="00EE15E3"/>
    <w:rsid w:val="00F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433BDD"/>
  <w15:chartTrackingRefBased/>
  <w15:docId w15:val="{A69A14C8-02B9-43C1-BA83-76DD9B0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D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D98"/>
  </w:style>
  <w:style w:type="paragraph" w:styleId="Piedepgina">
    <w:name w:val="footer"/>
    <w:basedOn w:val="Normal"/>
    <w:link w:val="PiedepginaCar"/>
    <w:uiPriority w:val="99"/>
    <w:unhideWhenUsed/>
    <w:rsid w:val="00897D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D98"/>
  </w:style>
  <w:style w:type="paragraph" w:styleId="Prrafodelista">
    <w:name w:val="List Paragraph"/>
    <w:basedOn w:val="Normal"/>
    <w:uiPriority w:val="34"/>
    <w:qFormat/>
    <w:rsid w:val="00620C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3D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736B-BC22-42E7-B2DF-F72A91B2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Jorge Luis Godinez Reyes</cp:lastModifiedBy>
  <cp:revision>4</cp:revision>
  <cp:lastPrinted>2020-02-12T19:18:00Z</cp:lastPrinted>
  <dcterms:created xsi:type="dcterms:W3CDTF">2020-02-12T18:22:00Z</dcterms:created>
  <dcterms:modified xsi:type="dcterms:W3CDTF">2020-02-12T19:21:00Z</dcterms:modified>
</cp:coreProperties>
</file>