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A5" w:rsidRDefault="00C07BA5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AD55E4" w:rsidRPr="00F9027A" w:rsidRDefault="009D0B79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AD55E4" w:rsidRPr="00F9027A">
        <w:rPr>
          <w:rFonts w:asciiTheme="majorHAnsi" w:hAnsiTheme="majorHAnsi" w:cstheme="majorHAnsi"/>
          <w:b/>
          <w:sz w:val="24"/>
          <w:szCs w:val="24"/>
        </w:rPr>
        <w:t>GOBIERNO MUNICIPAL DE SAN PEDRO TLAQUEPAQUE 2018-2021</w:t>
      </w:r>
    </w:p>
    <w:p w:rsidR="00AD55E4" w:rsidRPr="00F9027A" w:rsidRDefault="00AD55E4" w:rsidP="00AD55E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 xml:space="preserve">COMISION EDILICIA DE </w:t>
      </w:r>
      <w:r w:rsidR="00761B96">
        <w:rPr>
          <w:rFonts w:asciiTheme="majorHAnsi" w:hAnsiTheme="majorHAnsi" w:cstheme="majorHAnsi"/>
          <w:b/>
          <w:sz w:val="24"/>
          <w:szCs w:val="24"/>
        </w:rPr>
        <w:t>SALUBRIDAD E HIGIENE</w:t>
      </w:r>
      <w:r w:rsidRPr="00F9027A">
        <w:rPr>
          <w:rFonts w:asciiTheme="majorHAnsi" w:hAnsiTheme="majorHAnsi" w:cstheme="majorHAnsi"/>
          <w:b/>
          <w:sz w:val="24"/>
          <w:szCs w:val="24"/>
        </w:rPr>
        <w:t>.</w:t>
      </w:r>
    </w:p>
    <w:p w:rsidR="00AD55E4" w:rsidRPr="00F9027A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9D0B79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Integrantes de la C</w:t>
      </w:r>
      <w:r w:rsidR="00AD55E4" w:rsidRPr="00F9027A">
        <w:rPr>
          <w:rFonts w:asciiTheme="majorHAnsi" w:hAnsiTheme="majorHAnsi" w:cstheme="majorHAnsi"/>
          <w:sz w:val="24"/>
          <w:szCs w:val="24"/>
        </w:rPr>
        <w:t xml:space="preserve">omisión Edilicia de </w:t>
      </w:r>
      <w:r w:rsidR="00761B96">
        <w:rPr>
          <w:rFonts w:asciiTheme="majorHAnsi" w:hAnsiTheme="majorHAnsi" w:cstheme="majorHAnsi"/>
          <w:sz w:val="24"/>
          <w:szCs w:val="24"/>
        </w:rPr>
        <w:t xml:space="preserve">Salubridad e Higiene </w:t>
      </w:r>
      <w:r w:rsidR="00AD55E4" w:rsidRPr="00F9027A">
        <w:rPr>
          <w:rFonts w:asciiTheme="majorHAnsi" w:hAnsiTheme="majorHAnsi" w:cstheme="majorHAnsi"/>
          <w:sz w:val="24"/>
          <w:szCs w:val="24"/>
        </w:rPr>
        <w:t>del Municipio de San Pedro Tlaquepaque:</w:t>
      </w: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Lic. J</w:t>
      </w:r>
      <w:r w:rsidR="007A18F8">
        <w:rPr>
          <w:rFonts w:asciiTheme="majorHAnsi" w:hAnsiTheme="majorHAnsi" w:cstheme="majorHAnsi"/>
          <w:b/>
          <w:sz w:val="24"/>
          <w:szCs w:val="24"/>
        </w:rPr>
        <w:t>aime Contreras Estrada</w:t>
      </w:r>
      <w:r w:rsidRPr="00F9027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 xml:space="preserve">Presidente de la Comisión de </w:t>
      </w:r>
      <w:r w:rsidR="00761B96">
        <w:rPr>
          <w:rFonts w:asciiTheme="majorHAnsi" w:hAnsiTheme="majorHAnsi" w:cstheme="majorHAnsi"/>
          <w:sz w:val="24"/>
          <w:szCs w:val="24"/>
        </w:rPr>
        <w:t xml:space="preserve">Salubridad e Higiene </w:t>
      </w: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761B96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>
        <w:rPr>
          <w:rFonts w:asciiTheme="majorHAnsi" w:hAnsiTheme="majorHAnsi" w:cstheme="majorHAnsi"/>
          <w:b/>
          <w:sz w:val="24"/>
          <w:szCs w:val="24"/>
        </w:rPr>
        <w:t>C. Irma Yolanda Reynoso Mercado</w:t>
      </w:r>
      <w:r w:rsidR="00AD55E4"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.</w:t>
      </w:r>
    </w:p>
    <w:p w:rsidR="00AD55E4" w:rsidRPr="00F9027A" w:rsidRDefault="00761B96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Vocal de la Comisión de Salubridad e Higiene</w:t>
      </w: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:rsidR="00AD55E4" w:rsidRPr="00F9027A" w:rsidRDefault="00AD55E4" w:rsidP="00761B96">
      <w:pPr>
        <w:ind w:firstLine="70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 xml:space="preserve">C. </w:t>
      </w:r>
      <w:r w:rsidR="00761B9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 xml:space="preserve">José </w:t>
      </w:r>
      <w:r w:rsidR="009D0B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 xml:space="preserve">Luis </w:t>
      </w:r>
      <w:r w:rsidR="00761B9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Sandoval Torres</w:t>
      </w:r>
      <w:r w:rsidRPr="00F9027A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s-MX"/>
        </w:rPr>
        <w:t>.</w:t>
      </w:r>
    </w:p>
    <w:p w:rsidR="00AD55E4" w:rsidRDefault="00AD55E4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  <w:r w:rsidRPr="00F9027A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 xml:space="preserve">Vocal de la Comisión de </w:t>
      </w:r>
      <w:r w:rsidR="00761B96"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  <w:t>Salubridad e Higiene</w:t>
      </w:r>
    </w:p>
    <w:p w:rsidR="002A5FAB" w:rsidRPr="00F9027A" w:rsidRDefault="002A5FAB" w:rsidP="00AD55E4">
      <w:pPr>
        <w:spacing w:after="0"/>
        <w:ind w:left="709" w:right="59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s-MX"/>
        </w:rPr>
      </w:pPr>
    </w:p>
    <w:p w:rsidR="00AD55E4" w:rsidRPr="00F9027A" w:rsidRDefault="00AD55E4" w:rsidP="00AD55E4">
      <w:pPr>
        <w:spacing w:after="0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2A5FAB" w:rsidP="00533105">
      <w:pPr>
        <w:ind w:left="709"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INTRODUCCION:</w:t>
      </w:r>
    </w:p>
    <w:p w:rsidR="002A5FAB" w:rsidRDefault="002A5FAB" w:rsidP="00AD55E4">
      <w:pPr>
        <w:ind w:left="709" w:right="594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61B96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Al inicio de la actual administración correspondiente al periodo 2018-2021</w:t>
      </w:r>
      <w:r w:rsidR="007A18F8">
        <w:rPr>
          <w:rFonts w:asciiTheme="majorHAnsi" w:hAnsiTheme="majorHAnsi" w:cstheme="majorHAnsi"/>
          <w:sz w:val="24"/>
          <w:szCs w:val="24"/>
        </w:rPr>
        <w:t xml:space="preserve">, </w:t>
      </w:r>
      <w:r w:rsidRPr="00F9027A">
        <w:rPr>
          <w:rFonts w:asciiTheme="majorHAnsi" w:hAnsiTheme="majorHAnsi" w:cstheme="majorHAnsi"/>
          <w:sz w:val="24"/>
          <w:szCs w:val="24"/>
        </w:rPr>
        <w:t>presupone un replanteamiento de las normas jurídicas y administrati</w:t>
      </w:r>
      <w:r w:rsidR="009D0B79">
        <w:rPr>
          <w:rFonts w:asciiTheme="majorHAnsi" w:hAnsiTheme="majorHAnsi" w:cstheme="majorHAnsi"/>
          <w:sz w:val="24"/>
          <w:szCs w:val="24"/>
        </w:rPr>
        <w:t>vas del G</w:t>
      </w:r>
      <w:r w:rsidR="00761B96">
        <w:rPr>
          <w:rFonts w:asciiTheme="majorHAnsi" w:hAnsiTheme="majorHAnsi" w:cstheme="majorHAnsi"/>
          <w:sz w:val="24"/>
          <w:szCs w:val="24"/>
        </w:rPr>
        <w:t>obierno</w:t>
      </w:r>
      <w:r w:rsidR="00D83371">
        <w:rPr>
          <w:rFonts w:asciiTheme="majorHAnsi" w:hAnsiTheme="majorHAnsi" w:cstheme="majorHAnsi"/>
          <w:sz w:val="24"/>
          <w:szCs w:val="24"/>
        </w:rPr>
        <w:t xml:space="preserve"> de</w:t>
      </w:r>
      <w:r w:rsidR="009D0B79">
        <w:rPr>
          <w:rFonts w:asciiTheme="majorHAnsi" w:hAnsiTheme="majorHAnsi" w:cstheme="majorHAnsi"/>
          <w:sz w:val="24"/>
          <w:szCs w:val="24"/>
        </w:rPr>
        <w:t xml:space="preserve"> San Pedro </w:t>
      </w:r>
      <w:r w:rsidR="00761B96">
        <w:rPr>
          <w:rFonts w:asciiTheme="majorHAnsi" w:hAnsiTheme="majorHAnsi" w:cstheme="majorHAnsi"/>
          <w:sz w:val="24"/>
          <w:szCs w:val="24"/>
        </w:rPr>
        <w:t xml:space="preserve">Tlaquepaque, </w:t>
      </w:r>
      <w:r w:rsidR="002C4568">
        <w:rPr>
          <w:rFonts w:asciiTheme="majorHAnsi" w:hAnsiTheme="majorHAnsi" w:cstheme="majorHAnsi"/>
          <w:sz w:val="24"/>
          <w:szCs w:val="24"/>
        </w:rPr>
        <w:t>pues se debe de tomar en consideración  que es Pueblo Mágico por la SECTUR (Secretaria de Turismo) nombramiento adquirido  el pasado 11 de Octubre del 2018. P</w:t>
      </w:r>
      <w:r w:rsidR="00761B96">
        <w:rPr>
          <w:rFonts w:asciiTheme="majorHAnsi" w:hAnsiTheme="majorHAnsi" w:cstheme="majorHAnsi"/>
          <w:sz w:val="24"/>
          <w:szCs w:val="24"/>
        </w:rPr>
        <w:t xml:space="preserve">or lo que se plantea  un esquema de trabajo </w:t>
      </w:r>
      <w:r w:rsidR="007A18F8">
        <w:rPr>
          <w:rFonts w:asciiTheme="majorHAnsi" w:hAnsiTheme="majorHAnsi" w:cstheme="majorHAnsi"/>
          <w:sz w:val="24"/>
          <w:szCs w:val="24"/>
        </w:rPr>
        <w:t xml:space="preserve">con el </w:t>
      </w:r>
      <w:r w:rsidR="00761B96">
        <w:rPr>
          <w:rFonts w:asciiTheme="majorHAnsi" w:hAnsiTheme="majorHAnsi" w:cstheme="majorHAnsi"/>
          <w:sz w:val="24"/>
          <w:szCs w:val="24"/>
        </w:rPr>
        <w:t xml:space="preserve">objetivo de solucionar problemas de salud </w:t>
      </w:r>
      <w:r w:rsidR="002A5FAB">
        <w:rPr>
          <w:rFonts w:asciiTheme="majorHAnsi" w:hAnsiTheme="majorHAnsi" w:cstheme="majorHAnsi"/>
          <w:sz w:val="24"/>
          <w:szCs w:val="24"/>
        </w:rPr>
        <w:t>pública</w:t>
      </w:r>
      <w:r w:rsidR="002C4568">
        <w:rPr>
          <w:rFonts w:asciiTheme="majorHAnsi" w:hAnsiTheme="majorHAnsi" w:cstheme="majorHAnsi"/>
          <w:sz w:val="24"/>
          <w:szCs w:val="24"/>
        </w:rPr>
        <w:t xml:space="preserve"> </w:t>
      </w:r>
      <w:r w:rsidR="007A18F8">
        <w:rPr>
          <w:rFonts w:asciiTheme="majorHAnsi" w:hAnsiTheme="majorHAnsi" w:cstheme="majorHAnsi"/>
          <w:sz w:val="24"/>
          <w:szCs w:val="24"/>
        </w:rPr>
        <w:t>haciendo énfasis en los</w:t>
      </w:r>
      <w:r w:rsidR="00761B96">
        <w:rPr>
          <w:rFonts w:asciiTheme="majorHAnsi" w:hAnsiTheme="majorHAnsi" w:cstheme="majorHAnsi"/>
          <w:sz w:val="24"/>
          <w:szCs w:val="24"/>
        </w:rPr>
        <w:t xml:space="preserve"> más vulnerables y desproteg</w:t>
      </w:r>
      <w:r w:rsidR="007A18F8">
        <w:rPr>
          <w:rFonts w:asciiTheme="majorHAnsi" w:hAnsiTheme="majorHAnsi" w:cstheme="majorHAnsi"/>
          <w:sz w:val="24"/>
          <w:szCs w:val="24"/>
        </w:rPr>
        <w:t>idos</w:t>
      </w:r>
      <w:r w:rsidR="00761B96">
        <w:rPr>
          <w:rFonts w:asciiTheme="majorHAnsi" w:hAnsiTheme="majorHAnsi" w:cstheme="majorHAnsi"/>
          <w:sz w:val="24"/>
          <w:szCs w:val="24"/>
        </w:rPr>
        <w:t xml:space="preserve"> por falta de políticas públicas que entiendan y atiendan  las necesidades en cuanto a la competencia  de esta Comisión. </w:t>
      </w:r>
    </w:p>
    <w:p w:rsidR="00AD55E4" w:rsidRPr="00F9027A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533105">
      <w:pPr>
        <w:autoSpaceDE w:val="0"/>
        <w:spacing w:line="276" w:lineRule="auto"/>
        <w:ind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LAS OBLIGACIONES DEL PRESIDENTE DE LA COMISION</w:t>
      </w:r>
    </w:p>
    <w:p w:rsidR="007A18F8" w:rsidRDefault="007A18F8" w:rsidP="007A18F8">
      <w:pPr>
        <w:autoSpaceDE w:val="0"/>
        <w:spacing w:line="276" w:lineRule="auto"/>
        <w:ind w:left="2124" w:right="594" w:firstLine="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Las obligaciones del Presidente de la Comisión  Edilicia  encuentran contempladas en el numeral 87 del Reglamento del Gobierno y de la Administración Pública del Ayuntamiento Constitucional de San Pedro Tlaquepaque  mismo que a la letra dice: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</w: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ab/>
        <w:t>Artículo 87.-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La presidencia de la comisión tiene las siguientes obligaciones: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lastRenderedPageBreak/>
        <w:t>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Dar a conocer por escrito a los demás miembros, los asuntos encomendados a la comisión;</w:t>
      </w:r>
    </w:p>
    <w:p w:rsidR="00AD55E4" w:rsidRPr="00F9027A" w:rsidRDefault="00AD55E4" w:rsidP="00AD55E4">
      <w:pPr>
        <w:ind w:left="709" w:right="594" w:hanging="2"/>
        <w:jc w:val="both"/>
        <w:rPr>
          <w:rFonts w:asciiTheme="majorHAnsi" w:eastAsia="MS Mincho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>II.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 xml:space="preserve"> Convocar por escrito, </w:t>
      </w:r>
      <w:r w:rsidRPr="007A18F8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>o medio electrónico oficial tratándose de sesiones a distancia</w:t>
      </w:r>
      <w:r w:rsidRPr="00F9027A">
        <w:rPr>
          <w:rFonts w:asciiTheme="majorHAnsi" w:eastAsia="MS Mincho" w:hAnsiTheme="majorHAnsi" w:cstheme="majorHAnsi"/>
          <w:b/>
          <w:i/>
          <w:sz w:val="24"/>
          <w:szCs w:val="24"/>
          <w:lang w:val="es-ES_tradnl"/>
        </w:rPr>
        <w:t xml:space="preserve">; </w:t>
      </w:r>
      <w:r w:rsidRPr="00F9027A">
        <w:rPr>
          <w:rFonts w:asciiTheme="majorHAnsi" w:eastAsia="MS Mincho" w:hAnsiTheme="majorHAnsi" w:cstheme="majorHAnsi"/>
          <w:i/>
          <w:sz w:val="24"/>
          <w:szCs w:val="24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III.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Promover las visitas, entrevistas y acciones necesarias para el eficaz cumplimiento de sus funciones;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Los proyectos de ordenamientos, reglamento o de dictámenes sobre los asuntos turnados a la comisión que preside, deben ajustarse a lo dispuesto por los artículo del presente reglamento;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VI.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Entregar a la </w:t>
      </w:r>
      <w:r w:rsidRPr="00F9027A">
        <w:rPr>
          <w:rFonts w:asciiTheme="majorHAnsi" w:hAnsiTheme="majorHAnsi" w:cstheme="majorHAnsi"/>
          <w:i/>
          <w:spacing w:val="-3"/>
          <w:sz w:val="24"/>
          <w:szCs w:val="24"/>
        </w:rPr>
        <w:t>Secretaría del Ayuntamiento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, una copia del proyecto de dictamen, con una anticipación de 72</w:t>
      </w:r>
      <w:r w:rsidR="00D83371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horas previas a la celebración de la sesión en que vaya a discutirse;</w:t>
      </w:r>
    </w:p>
    <w:p w:rsidR="00AD55E4" w:rsidRPr="007A18F8" w:rsidRDefault="00AD55E4" w:rsidP="00AD55E4">
      <w:pPr>
        <w:tabs>
          <w:tab w:val="left" w:pos="709"/>
        </w:tabs>
        <w:ind w:left="709" w:right="59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VII.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 w:rsidRPr="007A18F8">
        <w:rPr>
          <w:rFonts w:asciiTheme="majorHAnsi" w:hAnsiTheme="majorHAnsi" w:cstheme="majorHAnsi"/>
          <w:i/>
          <w:sz w:val="24"/>
          <w:szCs w:val="24"/>
        </w:rPr>
        <w:t xml:space="preserve">En relación a sesiones distancia el citatorio será por medio electrónico oficial por lo menos 12 horas de anticipación, siempre y cuando se traten de temas urgentes. 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 xml:space="preserve">VIII. 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z w:val="24"/>
          <w:szCs w:val="24"/>
          <w:lang w:val="es-ES_tradnl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  <w:lang w:val="es-ES_tradnl"/>
        </w:rPr>
        <w:t>IX.</w:t>
      </w:r>
      <w:r w:rsidRPr="00F9027A">
        <w:rPr>
          <w:rFonts w:asciiTheme="majorHAnsi" w:hAnsiTheme="majorHAnsi" w:cstheme="majorHAnsi"/>
          <w:i/>
          <w:sz w:val="24"/>
          <w:szCs w:val="24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:rsidR="00AD55E4" w:rsidRPr="00F9027A" w:rsidRDefault="00AD55E4" w:rsidP="00AD55E4">
      <w:pPr>
        <w:tabs>
          <w:tab w:val="left" w:pos="709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t>X.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Presentar al Ayuntamiento, informes trimestrales de las actividades realizadas por la comisión que preside;</w:t>
      </w: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</w:pP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  <w:r w:rsidRPr="00F9027A">
        <w:rPr>
          <w:rFonts w:asciiTheme="majorHAnsi" w:eastAsia="Times New Roman" w:hAnsiTheme="majorHAnsi" w:cstheme="majorHAnsi"/>
          <w:b/>
          <w:i/>
          <w:sz w:val="24"/>
          <w:szCs w:val="24"/>
          <w:lang w:val="es-ES_tradnl" w:eastAsia="ar-SA"/>
        </w:rPr>
        <w:t>XI.</w:t>
      </w:r>
      <w:r w:rsidRPr="00F9027A"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  <w:t xml:space="preserve"> Comunicar a los integrantes de la comisión que preside, la prioridad que reviste asistir regular y puntualmente a las reuniones de comisión; y</w:t>
      </w:r>
    </w:p>
    <w:p w:rsidR="00AD55E4" w:rsidRPr="00F9027A" w:rsidRDefault="00AD55E4" w:rsidP="00AD55E4">
      <w:pPr>
        <w:tabs>
          <w:tab w:val="left" w:pos="709"/>
          <w:tab w:val="left" w:pos="735"/>
          <w:tab w:val="right" w:pos="8885"/>
        </w:tabs>
        <w:suppressAutoHyphens/>
        <w:spacing w:after="0" w:line="276" w:lineRule="auto"/>
        <w:ind w:left="709" w:right="594"/>
        <w:jc w:val="both"/>
        <w:rPr>
          <w:rFonts w:asciiTheme="majorHAnsi" w:eastAsia="Times New Roman" w:hAnsiTheme="majorHAnsi" w:cstheme="majorHAnsi"/>
          <w:i/>
          <w:sz w:val="24"/>
          <w:szCs w:val="24"/>
          <w:lang w:val="es-ES_tradnl" w:eastAsia="ar-SA"/>
        </w:rPr>
      </w:pPr>
    </w:p>
    <w:p w:rsidR="00AD55E4" w:rsidRPr="00F9027A" w:rsidRDefault="00AD55E4" w:rsidP="00AD55E4">
      <w:pPr>
        <w:tabs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b/>
          <w:i/>
          <w:sz w:val="24"/>
          <w:szCs w:val="24"/>
        </w:rPr>
        <w:t>XII.</w:t>
      </w:r>
      <w:r w:rsidRPr="00F9027A">
        <w:rPr>
          <w:rFonts w:asciiTheme="majorHAnsi" w:hAnsiTheme="majorHAnsi" w:cstheme="majorHAnsi"/>
          <w:i/>
          <w:sz w:val="24"/>
          <w:szCs w:val="24"/>
        </w:rPr>
        <w:t xml:space="preserve"> Las demás que por acuerdo comisión o del Ayuntamiento se le encomienden.</w:t>
      </w:r>
    </w:p>
    <w:p w:rsidR="00AD55E4" w:rsidRDefault="00AD55E4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C07BA5" w:rsidRDefault="00C07BA5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AD55E4" w:rsidP="00533105">
      <w:pPr>
        <w:autoSpaceDE w:val="0"/>
        <w:spacing w:line="276" w:lineRule="auto"/>
        <w:ind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LAS ATRIBUCIONES DE LA COMISION</w:t>
      </w:r>
    </w:p>
    <w:p w:rsidR="00AD55E4" w:rsidRPr="00F9027A" w:rsidRDefault="00AD55E4" w:rsidP="00AD55E4">
      <w:pPr>
        <w:autoSpaceDE w:val="0"/>
        <w:spacing w:line="276" w:lineRule="auto"/>
        <w:ind w:left="709" w:right="594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>Las atribuciones de la Comisión se encuentran contempladas en el numeral 88 del Reglamento del Gobierno y de la Administración Pública del Ayuntamiento Constitucional de San Pedro Tlaquepaque mismo que a la letra dice:</w:t>
      </w:r>
    </w:p>
    <w:p w:rsidR="00AD55E4" w:rsidRPr="00F9027A" w:rsidRDefault="007A18F8" w:rsidP="00AD55E4">
      <w:pPr>
        <w:tabs>
          <w:tab w:val="left" w:pos="-720"/>
          <w:tab w:val="left" w:pos="709"/>
        </w:tabs>
        <w:spacing w:line="276" w:lineRule="auto"/>
        <w:ind w:left="709" w:right="594"/>
        <w:jc w:val="both"/>
        <w:rPr>
          <w:rFonts w:asciiTheme="majorHAnsi" w:hAnsiTheme="majorHAnsi" w:cstheme="majorHAnsi"/>
          <w:i/>
          <w:spacing w:val="-3"/>
          <w:sz w:val="24"/>
          <w:szCs w:val="24"/>
        </w:rPr>
      </w:pP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ab/>
      </w:r>
      <w:r w:rsidR="00AD55E4"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Artículo</w:t>
      </w:r>
      <w:r w:rsidR="00761B96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="00AD55E4" w:rsidRPr="00F9027A">
        <w:rPr>
          <w:rFonts w:asciiTheme="majorHAnsi" w:hAnsiTheme="majorHAnsi" w:cstheme="majorHAnsi"/>
          <w:b/>
          <w:i/>
          <w:spacing w:val="-3"/>
          <w:sz w:val="24"/>
          <w:szCs w:val="24"/>
        </w:rPr>
        <w:t>88.-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 xml:space="preserve"> Para el estudio, vigilancia y atención de los diversos asuntos que corresponde conocer al A</w:t>
      </w:r>
      <w:r w:rsidR="009D0B79">
        <w:rPr>
          <w:rFonts w:asciiTheme="majorHAnsi" w:hAnsiTheme="majorHAnsi" w:cstheme="majorHAnsi"/>
          <w:i/>
          <w:spacing w:val="-3"/>
          <w:sz w:val="24"/>
          <w:szCs w:val="24"/>
        </w:rPr>
        <w:t>yuntamientos, se deben nombrar C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>omisiones permanentes de conformidad a lo establecido en el presente ordenamiento y en sus casos transitorias, cuyo desempeño son uni</w:t>
      </w:r>
      <w:r w:rsidR="009D0B79">
        <w:rPr>
          <w:rFonts w:asciiTheme="majorHAnsi" w:hAnsiTheme="majorHAnsi" w:cstheme="majorHAnsi"/>
          <w:i/>
          <w:spacing w:val="-3"/>
          <w:sz w:val="24"/>
          <w:szCs w:val="24"/>
        </w:rPr>
        <w:t>personales o colegiadas. Estas C</w:t>
      </w:r>
      <w:r w:rsidR="00AD55E4" w:rsidRPr="00F9027A">
        <w:rPr>
          <w:rFonts w:asciiTheme="majorHAnsi" w:hAnsiTheme="majorHAnsi" w:cstheme="majorHAnsi"/>
          <w:i/>
          <w:spacing w:val="-3"/>
          <w:sz w:val="24"/>
          <w:szCs w:val="24"/>
        </w:rPr>
        <w:t>omisiones no tienen facultades ejecutivas.</w:t>
      </w:r>
    </w:p>
    <w:p w:rsidR="00AD55E4" w:rsidRPr="00F9027A" w:rsidRDefault="009D0B79" w:rsidP="00AD55E4">
      <w:pPr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Como parte de este Gobierno M</w:t>
      </w:r>
      <w:r w:rsidR="00AD55E4" w:rsidRPr="00F9027A">
        <w:rPr>
          <w:rFonts w:asciiTheme="majorHAnsi" w:hAnsiTheme="majorHAnsi" w:cstheme="majorHAnsi"/>
          <w:sz w:val="24"/>
          <w:szCs w:val="24"/>
        </w:rPr>
        <w:t>unicipal, del cual soy integrante  y fungiendo como una de las partes de trabajo que se de</w:t>
      </w:r>
      <w:r>
        <w:rPr>
          <w:rFonts w:asciiTheme="majorHAnsi" w:hAnsiTheme="majorHAnsi" w:cstheme="majorHAnsi"/>
          <w:sz w:val="24"/>
          <w:szCs w:val="24"/>
        </w:rPr>
        <w:t>sprenden de la máxima autoridad</w:t>
      </w:r>
      <w:r w:rsidR="00AD55E4">
        <w:rPr>
          <w:rFonts w:asciiTheme="majorHAnsi" w:hAnsiTheme="majorHAnsi" w:cstheme="majorHAnsi"/>
          <w:sz w:val="24"/>
          <w:szCs w:val="24"/>
        </w:rPr>
        <w:t>, és</w:t>
      </w:r>
      <w:r>
        <w:rPr>
          <w:rFonts w:asciiTheme="majorHAnsi" w:hAnsiTheme="majorHAnsi" w:cstheme="majorHAnsi"/>
          <w:sz w:val="24"/>
          <w:szCs w:val="24"/>
        </w:rPr>
        <w:t>ta Comisión E</w:t>
      </w:r>
      <w:r w:rsidR="00AD55E4" w:rsidRPr="00F9027A">
        <w:rPr>
          <w:rFonts w:asciiTheme="majorHAnsi" w:hAnsiTheme="majorHAnsi" w:cstheme="majorHAnsi"/>
          <w:sz w:val="24"/>
          <w:szCs w:val="24"/>
        </w:rPr>
        <w:t xml:space="preserve">dilicia de </w:t>
      </w:r>
      <w:r w:rsidR="007A18F8">
        <w:rPr>
          <w:rFonts w:asciiTheme="majorHAnsi" w:hAnsiTheme="majorHAnsi" w:cstheme="majorHAnsi"/>
          <w:sz w:val="24"/>
          <w:szCs w:val="24"/>
        </w:rPr>
        <w:t>Salubridad e Higiene</w:t>
      </w:r>
      <w:r w:rsidR="00AD55E4" w:rsidRPr="00F9027A">
        <w:rPr>
          <w:rFonts w:asciiTheme="majorHAnsi" w:hAnsiTheme="majorHAnsi" w:cstheme="majorHAnsi"/>
          <w:sz w:val="24"/>
          <w:szCs w:val="24"/>
        </w:rPr>
        <w:t xml:space="preserve"> debe de plantearse un esquema de trabajo con el objetivo de solucionar los problemas de la sociedad en cuanto a la competencia de esta comisión, el cual se encuentra plasmado en</w:t>
      </w:r>
      <w:r w:rsidR="008A0138">
        <w:rPr>
          <w:rFonts w:asciiTheme="majorHAnsi" w:hAnsiTheme="majorHAnsi" w:cstheme="majorHAnsi"/>
          <w:sz w:val="24"/>
          <w:szCs w:val="24"/>
        </w:rPr>
        <w:t xml:space="preserve"> el artículo 100 </w:t>
      </w:r>
      <w:r w:rsidR="00AD55E4" w:rsidRPr="00F9027A">
        <w:rPr>
          <w:rFonts w:asciiTheme="majorHAnsi" w:hAnsiTheme="majorHAnsi" w:cstheme="majorHAnsi"/>
          <w:sz w:val="24"/>
          <w:szCs w:val="24"/>
        </w:rPr>
        <w:t>del reglamento del Gobierno y de la administración pública del ayuntamiento constitucional de San Pedro Tlaquepaque, que a la letra dice.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I. </w:t>
      </w:r>
      <w:r w:rsidRPr="008A0138">
        <w:rPr>
          <w:rFonts w:asciiTheme="majorHAnsi" w:hAnsiTheme="majorHAnsi" w:cstheme="majorHAnsi"/>
          <w:sz w:val="24"/>
          <w:szCs w:val="24"/>
        </w:rPr>
        <w:t>Velar por la aplicación y observancia de las disposiciones legales en la materia;</w:t>
      </w:r>
    </w:p>
    <w:p w:rsid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II. </w:t>
      </w:r>
      <w:r w:rsidRPr="008A0138">
        <w:rPr>
          <w:rFonts w:asciiTheme="majorHAnsi" w:hAnsiTheme="majorHAnsi" w:cstheme="majorHAnsi"/>
          <w:sz w:val="24"/>
          <w:szCs w:val="24"/>
        </w:rPr>
        <w:t>Proponer y dictaminar las iniciativas que en la materia sean sometidas a consideración del Ayuntamiento;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III. </w:t>
      </w:r>
      <w:r w:rsidRPr="008A0138">
        <w:rPr>
          <w:rFonts w:asciiTheme="majorHAnsi" w:hAnsiTheme="majorHAnsi" w:cstheme="majorHAnsi"/>
          <w:sz w:val="24"/>
          <w:szCs w:val="24"/>
        </w:rPr>
        <w:t>Impulsar campañas que tiendan a la prevención de las enfermedades epidémicas y al control de las endémicas en el Municipio;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IV. </w:t>
      </w:r>
      <w:r w:rsidRPr="008A0138">
        <w:rPr>
          <w:rFonts w:asciiTheme="majorHAnsi" w:hAnsiTheme="majorHAnsi" w:cstheme="majorHAnsi"/>
          <w:sz w:val="24"/>
          <w:szCs w:val="24"/>
        </w:rPr>
        <w:t>Participar activamente en los Consejos Consultivos que para tal efecto sean creados por el Ayuntamiento;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V. </w:t>
      </w:r>
      <w:r w:rsidRPr="008A0138">
        <w:rPr>
          <w:rFonts w:asciiTheme="majorHAnsi" w:hAnsiTheme="majorHAnsi" w:cstheme="majorHAnsi"/>
          <w:sz w:val="24"/>
          <w:szCs w:val="24"/>
        </w:rPr>
        <w:t>Realizar los estudios y gestiones que estime pertinentes para orientar la política que en materia de salud pública deba emprender el Municipio;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VI. </w:t>
      </w:r>
      <w:r w:rsidRPr="008A0138">
        <w:rPr>
          <w:rFonts w:asciiTheme="majorHAnsi" w:hAnsiTheme="majorHAnsi" w:cstheme="majorHAnsi"/>
          <w:sz w:val="24"/>
          <w:szCs w:val="24"/>
        </w:rPr>
        <w:t>Orientar las políticas públicas que en la materia deba observar el Municipio; y</w:t>
      </w: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A0138" w:rsidRPr="008A0138" w:rsidRDefault="008A0138" w:rsidP="008A0138">
      <w:pPr>
        <w:autoSpaceDE w:val="0"/>
        <w:spacing w:after="0"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A0138">
        <w:rPr>
          <w:rFonts w:asciiTheme="majorHAnsi" w:hAnsiTheme="majorHAnsi" w:cstheme="majorHAnsi"/>
          <w:b/>
          <w:bCs/>
          <w:sz w:val="24"/>
          <w:szCs w:val="24"/>
        </w:rPr>
        <w:t xml:space="preserve">VII. </w:t>
      </w:r>
      <w:r w:rsidRPr="008A0138">
        <w:rPr>
          <w:rFonts w:asciiTheme="majorHAnsi" w:hAnsiTheme="majorHAnsi" w:cstheme="majorHAnsi"/>
          <w:sz w:val="24"/>
          <w:szCs w:val="24"/>
        </w:rPr>
        <w:t>Asesorar al Presidente Municipal en la materia.</w:t>
      </w: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lastRenderedPageBreak/>
        <w:tab/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F9027A">
        <w:rPr>
          <w:rFonts w:asciiTheme="majorHAnsi" w:hAnsiTheme="majorHAnsi" w:cstheme="majorHAnsi"/>
          <w:sz w:val="24"/>
          <w:szCs w:val="24"/>
        </w:rPr>
        <w:t xml:space="preserve">Es por todo lo anterior los integrantes de la Comisión de </w:t>
      </w:r>
      <w:r w:rsidR="008A0138">
        <w:rPr>
          <w:rFonts w:asciiTheme="majorHAnsi" w:hAnsiTheme="majorHAnsi" w:cstheme="majorHAnsi"/>
          <w:sz w:val="24"/>
          <w:szCs w:val="24"/>
        </w:rPr>
        <w:t xml:space="preserve">Salubridad e Higiene </w:t>
      </w:r>
      <w:r w:rsidRPr="00F9027A">
        <w:rPr>
          <w:rFonts w:asciiTheme="majorHAnsi" w:hAnsiTheme="majorHAnsi" w:cstheme="majorHAnsi"/>
          <w:sz w:val="24"/>
          <w:szCs w:val="24"/>
        </w:rPr>
        <w:t xml:space="preserve">presentan el siguiente:  </w:t>
      </w:r>
    </w:p>
    <w:p w:rsidR="009D0B79" w:rsidRDefault="009D0B79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9D0B79">
      <w:pPr>
        <w:autoSpaceDE w:val="0"/>
        <w:spacing w:line="276" w:lineRule="auto"/>
        <w:ind w:left="708"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9027A">
        <w:rPr>
          <w:rFonts w:asciiTheme="majorHAnsi" w:hAnsiTheme="majorHAnsi" w:cstheme="majorHAnsi"/>
          <w:b/>
          <w:sz w:val="24"/>
          <w:szCs w:val="24"/>
        </w:rPr>
        <w:t>PLAN DE TRABAJO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013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GENERAL.-</w:t>
      </w:r>
    </w:p>
    <w:p w:rsidR="00AD55E4" w:rsidRPr="00F9027A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</w:t>
      </w:r>
      <w:r w:rsidRPr="00F9027A">
        <w:rPr>
          <w:rFonts w:asciiTheme="majorHAnsi" w:hAnsiTheme="majorHAnsi" w:cstheme="majorHAnsi"/>
          <w:sz w:val="24"/>
          <w:szCs w:val="24"/>
        </w:rPr>
        <w:t xml:space="preserve">omisión 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F9027A">
        <w:rPr>
          <w:rFonts w:asciiTheme="majorHAnsi" w:hAnsiTheme="majorHAnsi" w:cstheme="majorHAnsi"/>
          <w:sz w:val="24"/>
          <w:szCs w:val="24"/>
        </w:rPr>
        <w:t xml:space="preserve">dilicia de </w:t>
      </w:r>
      <w:r w:rsidR="008A0138">
        <w:rPr>
          <w:rFonts w:asciiTheme="majorHAnsi" w:hAnsiTheme="majorHAnsi" w:cstheme="majorHAnsi"/>
          <w:sz w:val="24"/>
          <w:szCs w:val="24"/>
        </w:rPr>
        <w:t>Salubridad e Higiene c</w:t>
      </w:r>
      <w:r w:rsidRPr="00F9027A">
        <w:rPr>
          <w:rFonts w:asciiTheme="majorHAnsi" w:hAnsiTheme="majorHAnsi" w:cstheme="majorHAnsi"/>
          <w:sz w:val="24"/>
          <w:szCs w:val="24"/>
        </w:rPr>
        <w:t>uenta con la atribución relativa a la supervisión y análisis del desempeño de las dependencias involucradas en prestar servicios básicos para la solución de la problemática en cuanto a l</w:t>
      </w:r>
      <w:r w:rsidR="008A0138">
        <w:rPr>
          <w:rFonts w:asciiTheme="majorHAnsi" w:hAnsiTheme="majorHAnsi" w:cstheme="majorHAnsi"/>
          <w:sz w:val="24"/>
          <w:szCs w:val="24"/>
        </w:rPr>
        <w:t xml:space="preserve">a competencia  de esta Comisión  </w:t>
      </w:r>
      <w:r w:rsidR="009D0B79">
        <w:rPr>
          <w:rFonts w:asciiTheme="majorHAnsi" w:hAnsiTheme="majorHAnsi" w:cstheme="majorHAnsi"/>
          <w:sz w:val="24"/>
          <w:szCs w:val="24"/>
        </w:rPr>
        <w:t>en el Municipio de San Pedro Tlaquepaque.</w:t>
      </w:r>
    </w:p>
    <w:p w:rsidR="00C07BA5" w:rsidRDefault="00C07BA5" w:rsidP="00AD4852">
      <w:pPr>
        <w:autoSpaceDE w:val="0"/>
        <w:spacing w:line="276" w:lineRule="auto"/>
        <w:ind w:left="2125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07BA5" w:rsidRDefault="00C07BA5" w:rsidP="00AD4852">
      <w:pPr>
        <w:autoSpaceDE w:val="0"/>
        <w:spacing w:line="276" w:lineRule="auto"/>
        <w:ind w:left="2125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533105">
      <w:pPr>
        <w:autoSpaceDE w:val="0"/>
        <w:spacing w:line="276" w:lineRule="auto"/>
        <w:ind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OBJETIVO  ESPECIFICO:</w:t>
      </w:r>
    </w:p>
    <w:p w:rsidR="00AD4852" w:rsidRDefault="00AD4852" w:rsidP="00AD4852">
      <w:pPr>
        <w:autoSpaceDE w:val="0"/>
        <w:spacing w:line="276" w:lineRule="auto"/>
        <w:ind w:left="2125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CB016D">
        <w:rPr>
          <w:rFonts w:asciiTheme="majorHAnsi" w:hAnsiTheme="majorHAnsi" w:cstheme="majorHAnsi"/>
          <w:sz w:val="24"/>
          <w:szCs w:val="24"/>
        </w:rPr>
        <w:t>De acuerdo a lo esti</w:t>
      </w:r>
      <w:r w:rsidR="009D0B79">
        <w:rPr>
          <w:rFonts w:asciiTheme="majorHAnsi" w:hAnsiTheme="majorHAnsi" w:cstheme="majorHAnsi"/>
          <w:sz w:val="24"/>
          <w:szCs w:val="24"/>
        </w:rPr>
        <w:t>pulado y de manera concreta la Comisión E</w:t>
      </w:r>
      <w:r w:rsidRPr="00CB016D">
        <w:rPr>
          <w:rFonts w:asciiTheme="majorHAnsi" w:hAnsiTheme="majorHAnsi" w:cstheme="majorHAnsi"/>
          <w:sz w:val="24"/>
          <w:szCs w:val="24"/>
        </w:rPr>
        <w:t xml:space="preserve">dilicia de </w:t>
      </w:r>
      <w:r w:rsidR="008A0138">
        <w:rPr>
          <w:rFonts w:asciiTheme="majorHAnsi" w:hAnsiTheme="majorHAnsi" w:cstheme="majorHAnsi"/>
          <w:sz w:val="24"/>
          <w:szCs w:val="24"/>
        </w:rPr>
        <w:t xml:space="preserve">Salubridad e Higiene </w:t>
      </w:r>
      <w:r w:rsidRPr="00CB016D">
        <w:rPr>
          <w:rFonts w:asciiTheme="majorHAnsi" w:hAnsiTheme="majorHAnsi" w:cstheme="majorHAnsi"/>
          <w:sz w:val="24"/>
          <w:szCs w:val="24"/>
        </w:rPr>
        <w:t xml:space="preserve"> acord</w:t>
      </w:r>
      <w:r w:rsidR="002C4568">
        <w:rPr>
          <w:rFonts w:asciiTheme="majorHAnsi" w:hAnsiTheme="majorHAnsi" w:cstheme="majorHAnsi"/>
          <w:sz w:val="24"/>
          <w:szCs w:val="24"/>
        </w:rPr>
        <w:t>e a la gestión de Objetivos que</w:t>
      </w:r>
      <w:r w:rsidRPr="00CB016D">
        <w:rPr>
          <w:rFonts w:asciiTheme="majorHAnsi" w:hAnsiTheme="majorHAnsi" w:cstheme="majorHAnsi"/>
          <w:sz w:val="24"/>
          <w:szCs w:val="24"/>
        </w:rPr>
        <w:t xml:space="preserve"> a continuación  se plantea: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1.- Fomentar iniciativas Municipales  para mejorar  y presentar el trabajo legal y administrativo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2.- Establecer reuniones de trabajo para el estudio de iniciativas y realizar dictámenes, acuerdos </w:t>
      </w:r>
      <w:r w:rsidR="008A0138">
        <w:rPr>
          <w:rFonts w:asciiTheme="majorHAnsi" w:hAnsiTheme="majorHAnsi" w:cstheme="majorHAnsi"/>
          <w:sz w:val="24"/>
          <w:szCs w:val="24"/>
        </w:rPr>
        <w:t>colegiados  encaminados  a la mejora permanente del Servicio Publico en materia de Salubridad e Higiene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3.- Actualización de las Normas Jurídicas </w:t>
      </w:r>
      <w:r w:rsidR="008A0138">
        <w:rPr>
          <w:rFonts w:asciiTheme="majorHAnsi" w:hAnsiTheme="majorHAnsi" w:cstheme="majorHAnsi"/>
          <w:sz w:val="24"/>
          <w:szCs w:val="24"/>
        </w:rPr>
        <w:t xml:space="preserve">relacionada con el </w:t>
      </w:r>
      <w:r w:rsidR="002C4568">
        <w:rPr>
          <w:rFonts w:asciiTheme="majorHAnsi" w:hAnsiTheme="majorHAnsi" w:cstheme="majorHAnsi"/>
          <w:sz w:val="24"/>
          <w:szCs w:val="24"/>
        </w:rPr>
        <w:t>servicio Público de Salubridad e</w:t>
      </w:r>
      <w:r w:rsidR="008A0138">
        <w:rPr>
          <w:rFonts w:asciiTheme="majorHAnsi" w:hAnsiTheme="majorHAnsi" w:cstheme="majorHAnsi"/>
          <w:sz w:val="24"/>
          <w:szCs w:val="24"/>
        </w:rPr>
        <w:t xml:space="preserve"> Higiene  de san Pedro Tlaquepaque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A0138" w:rsidRDefault="008A0138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4.- Mejorar la atención de salud a la población de San Pedro Tlaquepaque en situaciones de vulnerabilidad </w:t>
      </w:r>
    </w:p>
    <w:p w:rsidR="008A0138" w:rsidRDefault="008A0138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5.- Gestionar proyectos para supervisión y evolución de la calidad en prestación de servicios Públicos</w:t>
      </w:r>
    </w:p>
    <w:p w:rsidR="00AD55E4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533105">
      <w:pPr>
        <w:autoSpaceDE w:val="0"/>
        <w:spacing w:line="276" w:lineRule="auto"/>
        <w:ind w:right="59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10D2">
        <w:rPr>
          <w:rFonts w:asciiTheme="majorHAnsi" w:hAnsiTheme="majorHAnsi" w:cstheme="majorHAnsi"/>
          <w:b/>
          <w:sz w:val="24"/>
          <w:szCs w:val="24"/>
        </w:rPr>
        <w:t>LIN</w:t>
      </w:r>
      <w:r>
        <w:rPr>
          <w:rFonts w:asciiTheme="majorHAnsi" w:hAnsiTheme="majorHAnsi" w:cstheme="majorHAnsi"/>
          <w:b/>
          <w:sz w:val="24"/>
          <w:szCs w:val="24"/>
        </w:rPr>
        <w:t>EAS DE ACCIÓ</w:t>
      </w:r>
      <w:r w:rsidRPr="007310D2">
        <w:rPr>
          <w:rFonts w:asciiTheme="majorHAnsi" w:hAnsiTheme="majorHAnsi" w:cstheme="majorHAnsi"/>
          <w:b/>
          <w:sz w:val="24"/>
          <w:szCs w:val="24"/>
        </w:rPr>
        <w:t>N.-</w:t>
      </w:r>
    </w:p>
    <w:p w:rsidR="009D0B79" w:rsidRDefault="009D0B79" w:rsidP="00EF74CA">
      <w:pPr>
        <w:autoSpaceDE w:val="0"/>
        <w:spacing w:line="276" w:lineRule="auto"/>
        <w:ind w:left="3541" w:right="594" w:firstLine="70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D4852" w:rsidRDefault="00AD55E4" w:rsidP="00AD55E4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 w:rsidRPr="007310D2">
        <w:rPr>
          <w:rFonts w:asciiTheme="majorHAnsi" w:hAnsiTheme="majorHAnsi" w:cstheme="majorHAnsi"/>
          <w:sz w:val="24"/>
          <w:szCs w:val="24"/>
        </w:rPr>
        <w:t xml:space="preserve">1.- </w:t>
      </w:r>
      <w:r w:rsidR="00AD4852">
        <w:rPr>
          <w:rFonts w:asciiTheme="majorHAnsi" w:hAnsiTheme="majorHAnsi" w:cstheme="majorHAnsi"/>
          <w:sz w:val="24"/>
          <w:szCs w:val="24"/>
        </w:rPr>
        <w:t>Analizar, Impulsar, Promover y Dictaminar los acuerdos emitidos por la Secretaria del Ayuntamiento de San Pedro Tlaquepaque.</w:t>
      </w:r>
    </w:p>
    <w:p w:rsidR="00AD55E4" w:rsidRDefault="00B0531E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2.-Realiza</w:t>
      </w:r>
      <w:r w:rsidR="00AD55E4">
        <w:rPr>
          <w:rFonts w:asciiTheme="majorHAnsi" w:hAnsiTheme="majorHAnsi" w:cstheme="majorHAnsi"/>
          <w:sz w:val="24"/>
          <w:szCs w:val="24"/>
        </w:rPr>
        <w:t>r mesas de trabajo para el estudio de las iniciativas  presentadas a cabildo</w:t>
      </w:r>
      <w:r>
        <w:rPr>
          <w:rFonts w:asciiTheme="majorHAnsi" w:hAnsiTheme="majorHAnsi" w:cstheme="majorHAnsi"/>
          <w:sz w:val="24"/>
          <w:szCs w:val="24"/>
        </w:rPr>
        <w:t>.</w:t>
      </w:r>
      <w:r w:rsidR="00AD55E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D55E4" w:rsidRDefault="00AD55E4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3.- Dictaminar  las iniciativas en las sesiones de la comisión para ser presentada ante el cabildo para su aprobación.</w:t>
      </w:r>
    </w:p>
    <w:p w:rsidR="00AD55E4" w:rsidRDefault="00AD55E4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4.-Hacer propuestas  en materia de </w:t>
      </w:r>
      <w:r w:rsidR="00AD4852">
        <w:rPr>
          <w:rFonts w:asciiTheme="majorHAnsi" w:hAnsiTheme="majorHAnsi" w:cstheme="majorHAnsi"/>
          <w:sz w:val="24"/>
          <w:szCs w:val="24"/>
        </w:rPr>
        <w:t xml:space="preserve">Salud Pública </w:t>
      </w:r>
      <w:r w:rsidR="00B0531E">
        <w:rPr>
          <w:rFonts w:asciiTheme="majorHAnsi" w:hAnsiTheme="majorHAnsi" w:cstheme="majorHAnsi"/>
          <w:sz w:val="24"/>
          <w:szCs w:val="24"/>
        </w:rPr>
        <w:t xml:space="preserve">al ayuntamiento </w:t>
      </w:r>
      <w:r>
        <w:rPr>
          <w:rFonts w:asciiTheme="majorHAnsi" w:hAnsiTheme="majorHAnsi" w:cstheme="majorHAnsi"/>
          <w:sz w:val="24"/>
          <w:szCs w:val="24"/>
        </w:rPr>
        <w:t xml:space="preserve"> de San Pedro Tlaquepaque.</w:t>
      </w:r>
    </w:p>
    <w:p w:rsidR="00AD55E4" w:rsidRPr="007310D2" w:rsidRDefault="00AD55E4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5.- Llevar a cabo las sesiones necesarias en materia de </w:t>
      </w:r>
      <w:r w:rsidR="00AD4852">
        <w:rPr>
          <w:rFonts w:asciiTheme="majorHAnsi" w:hAnsiTheme="majorHAnsi" w:cstheme="majorHAnsi"/>
          <w:sz w:val="24"/>
          <w:szCs w:val="24"/>
        </w:rPr>
        <w:t>Salubridad e Higiene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D55E4" w:rsidRDefault="00AD55E4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6.- Coadyuvar con la Dirección de</w:t>
      </w:r>
      <w:r w:rsidR="00AD4852">
        <w:rPr>
          <w:rFonts w:asciiTheme="majorHAnsi" w:hAnsiTheme="majorHAnsi" w:cstheme="majorHAnsi"/>
          <w:sz w:val="24"/>
          <w:szCs w:val="24"/>
        </w:rPr>
        <w:t xml:space="preserve"> Servicios Médicos Municipales de San Pedro Tlaquepaque </w:t>
      </w:r>
      <w:r>
        <w:rPr>
          <w:rFonts w:asciiTheme="majorHAnsi" w:hAnsiTheme="majorHAnsi" w:cstheme="majorHAnsi"/>
          <w:sz w:val="24"/>
          <w:szCs w:val="24"/>
        </w:rPr>
        <w:t>con una mejora regulatoria.</w:t>
      </w:r>
    </w:p>
    <w:p w:rsidR="00616FC5" w:rsidRDefault="00616FC5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7- Trabajar en conjuntos con las diversos Consejos Municipales de San Pedro Tlaquepaque.</w:t>
      </w:r>
    </w:p>
    <w:p w:rsidR="00616FC5" w:rsidRDefault="00616FC5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2A5FAB" w:rsidRDefault="002A5FAB" w:rsidP="00AD4852">
      <w:pPr>
        <w:autoSpaceDE w:val="0"/>
        <w:spacing w:line="276" w:lineRule="auto"/>
        <w:ind w:left="709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CB016D" w:rsidRDefault="00AD55E4" w:rsidP="00AD55E4">
      <w:pPr>
        <w:autoSpaceDE w:val="0"/>
        <w:spacing w:line="276" w:lineRule="auto"/>
        <w:ind w:left="567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Default="00AD55E4" w:rsidP="00AD55E4">
      <w:pPr>
        <w:autoSpaceDE w:val="0"/>
        <w:spacing w:line="276" w:lineRule="auto"/>
        <w:ind w:left="4107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 E T A:</w:t>
      </w:r>
    </w:p>
    <w:p w:rsidR="00AD55E4" w:rsidRDefault="00AD55E4" w:rsidP="00AD55E4">
      <w:pPr>
        <w:autoSpaceDE w:val="0"/>
        <w:spacing w:line="276" w:lineRule="auto"/>
        <w:ind w:left="4107" w:right="594" w:firstLine="14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AD4852" w:rsidRDefault="00AD55E4" w:rsidP="009A4053">
      <w:pPr>
        <w:autoSpaceDE w:val="0"/>
        <w:spacing w:line="276" w:lineRule="auto"/>
        <w:ind w:left="567" w:right="594"/>
        <w:jc w:val="both"/>
        <w:rPr>
          <w:rFonts w:asciiTheme="majorHAnsi" w:hAnsiTheme="majorHAnsi" w:cstheme="majorHAnsi"/>
          <w:sz w:val="24"/>
          <w:szCs w:val="24"/>
        </w:rPr>
      </w:pPr>
      <w:r w:rsidRPr="00A8615E">
        <w:rPr>
          <w:rFonts w:asciiTheme="majorHAnsi" w:hAnsiTheme="majorHAnsi" w:cstheme="majorHAnsi"/>
          <w:sz w:val="24"/>
          <w:szCs w:val="24"/>
        </w:rPr>
        <w:t xml:space="preserve">Generar un mejor desarrollo </w:t>
      </w:r>
      <w:r w:rsidR="00AD4852">
        <w:rPr>
          <w:rFonts w:asciiTheme="majorHAnsi" w:hAnsiTheme="majorHAnsi" w:cstheme="majorHAnsi"/>
          <w:sz w:val="24"/>
          <w:szCs w:val="24"/>
        </w:rPr>
        <w:t>en la aplicación y seguimiento en materia de pr</w:t>
      </w:r>
      <w:r w:rsidR="00AD257D">
        <w:rPr>
          <w:rFonts w:asciiTheme="majorHAnsi" w:hAnsiTheme="majorHAnsi" w:cstheme="majorHAnsi"/>
          <w:sz w:val="24"/>
          <w:szCs w:val="24"/>
        </w:rPr>
        <w:t xml:space="preserve">evención médica y salud </w:t>
      </w:r>
      <w:r w:rsidR="009A4053">
        <w:rPr>
          <w:rFonts w:asciiTheme="majorHAnsi" w:hAnsiTheme="majorHAnsi" w:cstheme="majorHAnsi"/>
          <w:sz w:val="24"/>
          <w:szCs w:val="24"/>
        </w:rPr>
        <w:t>Pública</w:t>
      </w:r>
      <w:r w:rsidR="00AD257D">
        <w:rPr>
          <w:rFonts w:asciiTheme="majorHAnsi" w:hAnsiTheme="majorHAnsi" w:cstheme="majorHAnsi"/>
          <w:sz w:val="24"/>
          <w:szCs w:val="24"/>
        </w:rPr>
        <w:t xml:space="preserve">, </w:t>
      </w:r>
      <w:r w:rsidR="009A4053">
        <w:t xml:space="preserve"> proponer al Presidente Municipal las políticas y los programas de coordinación con las autoridades federales y estatales en materia de salud,</w:t>
      </w:r>
      <w:r w:rsidR="009A4053" w:rsidRPr="009A4053">
        <w:t xml:space="preserve"> </w:t>
      </w:r>
      <w:r w:rsidR="009A4053">
        <w:t>que se cumplan los objetivos y fines que se establecen en las leyes respectivas de</w:t>
      </w:r>
      <w:r w:rsidR="009A4053">
        <w:rPr>
          <w:rFonts w:asciiTheme="majorHAnsi" w:hAnsiTheme="majorHAnsi" w:cstheme="majorHAnsi"/>
          <w:sz w:val="24"/>
          <w:szCs w:val="24"/>
        </w:rPr>
        <w:t xml:space="preserve"> </w:t>
      </w:r>
      <w:r w:rsidR="00966350">
        <w:t xml:space="preserve"> prevención</w:t>
      </w:r>
      <w:r w:rsidR="00616FC5">
        <w:t xml:space="preserve"> </w:t>
      </w:r>
      <w:r w:rsidR="009A4053">
        <w:t xml:space="preserve"> y atención médica social.  </w:t>
      </w:r>
      <w:r w:rsidR="00616FC5">
        <w:t xml:space="preserve">Trabajar en conjunto </w:t>
      </w:r>
      <w:r w:rsidR="009A4053">
        <w:t xml:space="preserve"> con las autoridades competentes la realización de campañas para prevenir y atacar la drogadicción, el alcoholismo, tabaquismo y otros hábitos que amenacen la salud.</w:t>
      </w:r>
    </w:p>
    <w:p w:rsidR="00AD55E4" w:rsidRDefault="00AD55E4" w:rsidP="00AD55E4">
      <w:pPr>
        <w:autoSpaceDE w:val="0"/>
        <w:spacing w:line="276" w:lineRule="auto"/>
        <w:ind w:left="567" w:right="594"/>
        <w:jc w:val="both"/>
        <w:rPr>
          <w:rFonts w:asciiTheme="majorHAnsi" w:hAnsiTheme="majorHAnsi" w:cstheme="majorHAnsi"/>
          <w:sz w:val="24"/>
          <w:szCs w:val="24"/>
        </w:rPr>
      </w:pPr>
    </w:p>
    <w:p w:rsidR="00AD55E4" w:rsidRPr="00533105" w:rsidRDefault="002A5FAB" w:rsidP="00533105">
      <w:pPr>
        <w:pStyle w:val="Sinespaciado"/>
        <w:jc w:val="center"/>
        <w:rPr>
          <w:b/>
          <w:sz w:val="24"/>
        </w:rPr>
      </w:pPr>
      <w:r w:rsidRPr="00533105">
        <w:rPr>
          <w:b/>
          <w:sz w:val="24"/>
        </w:rPr>
        <w:t>CRONOGRAMA</w:t>
      </w:r>
      <w:r w:rsidR="00AD55E4" w:rsidRPr="00533105">
        <w:rPr>
          <w:b/>
          <w:sz w:val="24"/>
        </w:rPr>
        <w:t xml:space="preserve"> DE ACTIVIDADES</w:t>
      </w:r>
    </w:p>
    <w:tbl>
      <w:tblPr>
        <w:tblpPr w:leftFromText="141" w:rightFromText="141" w:vertAnchor="text" w:horzAnchor="margin" w:tblpY="339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04"/>
        <w:gridCol w:w="590"/>
        <w:gridCol w:w="544"/>
        <w:gridCol w:w="567"/>
        <w:gridCol w:w="567"/>
        <w:gridCol w:w="709"/>
        <w:gridCol w:w="567"/>
        <w:gridCol w:w="602"/>
        <w:gridCol w:w="526"/>
        <w:gridCol w:w="472"/>
        <w:gridCol w:w="590"/>
        <w:gridCol w:w="492"/>
        <w:gridCol w:w="1145"/>
      </w:tblGrid>
      <w:tr w:rsidR="002A5FAB" w:rsidRPr="003B1253" w:rsidTr="00533105">
        <w:trPr>
          <w:trHeight w:val="565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53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CRONOGRAMA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ACTIVIDADES DE LA  COMISION DE SALUBRIDAD E HIGIENE</w:t>
            </w:r>
          </w:p>
        </w:tc>
      </w:tr>
      <w:tr w:rsidR="002A5FAB" w:rsidRPr="003B1253" w:rsidTr="002A5FA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5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A5FAB" w:rsidRPr="003B1253" w:rsidTr="002A5FAB">
        <w:trPr>
          <w:trHeight w:val="31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ACCION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NOV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SEP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Resultado %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Celebrar Sesiones ordinarias mensuales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Convocar a Sesiones  por motivo de análisis de iniciativas derivadas del pleno.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Convocar a mesas de trabajo  por motivo de las iniciativas  derivadas del pleno.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Estudio, an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álisis  y Dictaminació</w:t>
            </w: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n de las Iniciativas  derivadas del pleno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 a las Sesiones Ordinarias como vocal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Asistir a las Sesiones Extraordinarias  como vocal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sesiones como Coadyuvante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 xml:space="preserve">Asistir a las Mesas de trabajo como Comisión coadyuvante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94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Representar a la Presidente Municipal  en eventos y actividades que se requiera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Participar en eventos Públicos  a nombre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both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Estudio de asuntos relacionados con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2A5FAB" w:rsidRPr="003B1253" w:rsidTr="002A5FAB">
        <w:trPr>
          <w:trHeight w:val="63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MX"/>
              </w:rPr>
              <w:t>Atención al ciudadano con temas de la comisión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AB" w:rsidRPr="003B1253" w:rsidRDefault="002A5FAB" w:rsidP="00940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B1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</w:tbl>
    <w:p w:rsidR="005C3CEE" w:rsidRPr="00533105" w:rsidRDefault="005C3CEE" w:rsidP="00533105">
      <w:pPr>
        <w:pStyle w:val="Sinespaciado"/>
      </w:pPr>
    </w:p>
    <w:sectPr w:rsidR="005C3CEE" w:rsidRPr="00533105" w:rsidSect="00533105">
      <w:headerReference w:type="default" r:id="rId6"/>
      <w:footerReference w:type="default" r:id="rId7"/>
      <w:pgSz w:w="12240" w:h="15840"/>
      <w:pgMar w:top="567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22" w:rsidRDefault="00345822" w:rsidP="00C07BA5">
      <w:pPr>
        <w:spacing w:after="0" w:line="240" w:lineRule="auto"/>
      </w:pPr>
      <w:r>
        <w:separator/>
      </w:r>
    </w:p>
  </w:endnote>
  <w:endnote w:type="continuationSeparator" w:id="0">
    <w:p w:rsidR="00345822" w:rsidRDefault="00345822" w:rsidP="00C0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12646"/>
      <w:docPartObj>
        <w:docPartGallery w:val="Page Numbers (Bottom of Page)"/>
        <w:docPartUnique/>
      </w:docPartObj>
    </w:sdtPr>
    <w:sdtEndPr/>
    <w:sdtContent>
      <w:p w:rsidR="00C07BA5" w:rsidRDefault="00C07B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52" w:rsidRPr="00434452">
          <w:rPr>
            <w:noProof/>
            <w:lang w:val="es-ES"/>
          </w:rPr>
          <w:t>1</w:t>
        </w:r>
        <w:r>
          <w:fldChar w:fldCharType="end"/>
        </w:r>
      </w:p>
    </w:sdtContent>
  </w:sdt>
  <w:p w:rsidR="00C07BA5" w:rsidRDefault="00C07B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22" w:rsidRDefault="00345822" w:rsidP="00C07BA5">
      <w:pPr>
        <w:spacing w:after="0" w:line="240" w:lineRule="auto"/>
      </w:pPr>
      <w:r>
        <w:separator/>
      </w:r>
    </w:p>
  </w:footnote>
  <w:footnote w:type="continuationSeparator" w:id="0">
    <w:p w:rsidR="00345822" w:rsidRDefault="00345822" w:rsidP="00C0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A5" w:rsidRDefault="00C07BA5" w:rsidP="00C07BA5">
    <w:pPr>
      <w:pStyle w:val="Encabezado"/>
      <w:jc w:val="right"/>
    </w:pPr>
    <w:r>
      <w:t xml:space="preserve">Plan de trabajo de la Comisión de Salubridad e Higiene </w:t>
    </w:r>
  </w:p>
  <w:p w:rsidR="00C07BA5" w:rsidRDefault="00C07BA5" w:rsidP="00C07BA5">
    <w:pPr>
      <w:pStyle w:val="Encabezado"/>
      <w:jc w:val="right"/>
    </w:pPr>
    <w:r>
      <w:t>Octubre 2020-Septiembre 2021</w:t>
    </w:r>
  </w:p>
  <w:p w:rsidR="00C07BA5" w:rsidRDefault="00C07BA5" w:rsidP="00C07BA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4"/>
    <w:rsid w:val="002302F6"/>
    <w:rsid w:val="002A5FAB"/>
    <w:rsid w:val="002C4568"/>
    <w:rsid w:val="00345822"/>
    <w:rsid w:val="00434452"/>
    <w:rsid w:val="00533105"/>
    <w:rsid w:val="005C3CEE"/>
    <w:rsid w:val="006008E3"/>
    <w:rsid w:val="00614136"/>
    <w:rsid w:val="00616FC5"/>
    <w:rsid w:val="006C18AA"/>
    <w:rsid w:val="006C2845"/>
    <w:rsid w:val="00761B96"/>
    <w:rsid w:val="007A18F8"/>
    <w:rsid w:val="008A0138"/>
    <w:rsid w:val="00966350"/>
    <w:rsid w:val="009A4053"/>
    <w:rsid w:val="009D0B79"/>
    <w:rsid w:val="00AD257D"/>
    <w:rsid w:val="00AD4852"/>
    <w:rsid w:val="00AD55E4"/>
    <w:rsid w:val="00B0531E"/>
    <w:rsid w:val="00C07BA5"/>
    <w:rsid w:val="00D83371"/>
    <w:rsid w:val="00EF74CA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C2940-DB27-464E-B2B2-FB4FB5D8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BA5"/>
  </w:style>
  <w:style w:type="paragraph" w:styleId="Piedepgina">
    <w:name w:val="footer"/>
    <w:basedOn w:val="Normal"/>
    <w:link w:val="PiedepginaCar"/>
    <w:uiPriority w:val="99"/>
    <w:unhideWhenUsed/>
    <w:rsid w:val="00C07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BA5"/>
  </w:style>
  <w:style w:type="paragraph" w:styleId="Sinespaciado">
    <w:name w:val="No Spacing"/>
    <w:uiPriority w:val="1"/>
    <w:qFormat/>
    <w:rsid w:val="00533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Cesar Ignacio Bocanegra Alvarado</cp:lastModifiedBy>
  <cp:revision>2</cp:revision>
  <dcterms:created xsi:type="dcterms:W3CDTF">2021-07-09T19:46:00Z</dcterms:created>
  <dcterms:modified xsi:type="dcterms:W3CDTF">2021-07-09T19:46:00Z</dcterms:modified>
</cp:coreProperties>
</file>