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0E" w:rsidRDefault="00F5060E" w:rsidP="00F5060E">
      <w:pPr>
        <w:jc w:val="both"/>
        <w:rPr>
          <w:rFonts w:ascii="Arial" w:hAnsi="Arial" w:cs="Arial"/>
          <w:sz w:val="24"/>
          <w:szCs w:val="24"/>
        </w:rPr>
      </w:pPr>
      <w:bookmarkStart w:id="0" w:name="_GoBack"/>
      <w:bookmarkEnd w:id="0"/>
      <w:r w:rsidRPr="00EB5081">
        <w:rPr>
          <w:rFonts w:ascii="Arial" w:hAnsi="Arial" w:cs="Arial"/>
          <w:sz w:val="24"/>
          <w:szCs w:val="24"/>
        </w:rPr>
        <w:t>------------------------------------------------------------------------------------------------</w:t>
      </w:r>
      <w:r>
        <w:rPr>
          <w:rFonts w:ascii="Arial" w:hAnsi="Arial" w:cs="Arial"/>
          <w:sz w:val="24"/>
          <w:szCs w:val="24"/>
        </w:rPr>
        <w:t>---------------------</w:t>
      </w:r>
      <w:r w:rsidRPr="00EB5081">
        <w:rPr>
          <w:rFonts w:ascii="Arial" w:hAnsi="Arial" w:cs="Arial"/>
          <w:sz w:val="24"/>
          <w:szCs w:val="24"/>
        </w:rPr>
        <w:t>----------------------</w:t>
      </w:r>
      <w:r w:rsidRPr="00EB5081">
        <w:rPr>
          <w:rFonts w:ascii="Arial" w:hAnsi="Arial" w:cs="Arial"/>
          <w:b/>
          <w:sz w:val="24"/>
          <w:szCs w:val="24"/>
        </w:rPr>
        <w:t>ACUERDO NÚMERO 1312/2020</w:t>
      </w:r>
      <w:r w:rsidRPr="00EB5081">
        <w:rPr>
          <w:rFonts w:ascii="Arial" w:hAnsi="Arial" w:cs="Arial"/>
          <w:sz w:val="24"/>
          <w:szCs w:val="24"/>
        </w:rPr>
        <w:t>------------------------------------------------------------------------------------------------------------------------------</w:t>
      </w:r>
      <w:r w:rsidRPr="00EB5081">
        <w:rPr>
          <w:rFonts w:ascii="Arial" w:hAnsi="Arial" w:cs="Arial"/>
          <w:b/>
          <w:sz w:val="24"/>
          <w:szCs w:val="24"/>
        </w:rPr>
        <w:t>PRIMERO.-</w:t>
      </w:r>
      <w:r w:rsidRPr="00EB5081">
        <w:rPr>
          <w:rFonts w:ascii="Arial" w:hAnsi="Arial" w:cs="Arial"/>
          <w:sz w:val="24"/>
          <w:szCs w:val="24"/>
        </w:rPr>
        <w:t xml:space="preserve"> El Ayuntamiento Constitucional de San Pedro Tlaquepaque,  aprueba y autoriza</w:t>
      </w:r>
      <w:r w:rsidRPr="00EB5081">
        <w:rPr>
          <w:rFonts w:ascii="Arial" w:hAnsi="Arial" w:cs="Arial"/>
          <w:b/>
          <w:bCs/>
          <w:sz w:val="24"/>
          <w:szCs w:val="24"/>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w:t>
      </w:r>
      <w:r w:rsidRPr="00EB5081">
        <w:rPr>
          <w:rFonts w:ascii="Arial" w:hAnsi="Arial" w:cs="Arial"/>
          <w:b/>
          <w:sz w:val="24"/>
          <w:szCs w:val="24"/>
        </w:rPr>
        <w:t>.</w:t>
      </w:r>
      <w:r w:rsidRPr="00EB5081">
        <w:rPr>
          <w:rFonts w:ascii="Arial" w:hAnsi="Arial" w:cs="Arial"/>
          <w:sz w:val="24"/>
          <w:szCs w:val="24"/>
        </w:rPr>
        <w:t>--------------</w:t>
      </w:r>
      <w:r>
        <w:rPr>
          <w:rFonts w:ascii="Arial" w:hAnsi="Arial" w:cs="Arial"/>
          <w:sz w:val="24"/>
          <w:szCs w:val="24"/>
        </w:rPr>
        <w:t>------------------------</w:t>
      </w:r>
      <w:r w:rsidRPr="00EB5081">
        <w:rPr>
          <w:rFonts w:ascii="Arial" w:hAnsi="Arial" w:cs="Arial"/>
          <w:sz w:val="24"/>
          <w:szCs w:val="24"/>
        </w:rPr>
        <w:t>-----------------------------------------------------------------------</w:t>
      </w:r>
      <w:r w:rsidRPr="00EB5081">
        <w:rPr>
          <w:rFonts w:ascii="Arial" w:hAnsi="Arial" w:cs="Arial"/>
          <w:b/>
          <w:sz w:val="24"/>
          <w:szCs w:val="24"/>
        </w:rPr>
        <w:t>SEGUNDO.-</w:t>
      </w:r>
      <w:r w:rsidRPr="00EB5081">
        <w:rPr>
          <w:rFonts w:ascii="Arial" w:hAnsi="Arial" w:cs="Arial"/>
          <w:sz w:val="24"/>
          <w:szCs w:val="24"/>
        </w:rPr>
        <w:t xml:space="preserve"> El Ayuntamiento Constitucional de San Pedro Tlaquepaque, Jalisco, aprueba y autoriza facultar al Tesorero Municipal, a erogar hasta la cantidad de </w:t>
      </w:r>
      <w:r w:rsidRPr="00EB5081">
        <w:rPr>
          <w:rFonts w:ascii="Arial" w:hAnsi="Arial" w:cs="Arial"/>
          <w:b/>
          <w:sz w:val="24"/>
          <w:szCs w:val="24"/>
        </w:rPr>
        <w:t>$ 25,676,746.16 (Veinticinco millones seiscientos setenta y seis mil setecientos cuarenta y seis pesos 16/100 M.N.) IVA incluido</w:t>
      </w:r>
      <w:r w:rsidRPr="00EB5081">
        <w:rPr>
          <w:rFonts w:ascii="Arial" w:hAnsi="Arial" w:cs="Arial"/>
          <w:sz w:val="24"/>
          <w:szCs w:val="24"/>
        </w:rPr>
        <w:t>, con cargo a la Partida del FISM ejercicio fiscal 2020, para dar cabal cumplimiento al presente acuerdo, lo anterior una vez agotados los procedimientos de adjudicación que correspondan con apego a la normatividad aplicable, para aplicarse a la siguientes colonias:</w:t>
      </w:r>
    </w:p>
    <w:p w:rsidR="00F5060E" w:rsidRPr="00EB5081" w:rsidRDefault="00F5060E" w:rsidP="00F5060E">
      <w:pPr>
        <w:jc w:val="both"/>
        <w:rPr>
          <w:rFonts w:ascii="Arial" w:hAnsi="Arial" w:cs="Arial"/>
          <w:sz w:val="24"/>
          <w:szCs w:val="24"/>
        </w:rPr>
      </w:pPr>
    </w:p>
    <w:p w:rsidR="00F5060E" w:rsidRPr="00664F83" w:rsidRDefault="00F5060E" w:rsidP="00F5060E">
      <w:pPr>
        <w:jc w:val="both"/>
        <w:rPr>
          <w:rFonts w:ascii="Arial" w:hAnsi="Arial" w:cs="Arial"/>
        </w:rPr>
      </w:pPr>
    </w:p>
    <w:tbl>
      <w:tblPr>
        <w:tblW w:w="8188" w:type="dxa"/>
        <w:jc w:val="center"/>
        <w:tblCellMar>
          <w:left w:w="70" w:type="dxa"/>
          <w:right w:w="70" w:type="dxa"/>
        </w:tblCellMar>
        <w:tblLook w:val="04A0" w:firstRow="1" w:lastRow="0" w:firstColumn="1" w:lastColumn="0" w:noHBand="0" w:noVBand="1"/>
      </w:tblPr>
      <w:tblGrid>
        <w:gridCol w:w="1791"/>
        <w:gridCol w:w="1051"/>
        <w:gridCol w:w="1063"/>
        <w:gridCol w:w="1014"/>
        <w:gridCol w:w="1546"/>
        <w:gridCol w:w="1723"/>
      </w:tblGrid>
      <w:tr w:rsidR="00F5060E" w:rsidRPr="00EB5081" w:rsidTr="00B94D89">
        <w:trPr>
          <w:trHeight w:val="360"/>
          <w:jc w:val="center"/>
        </w:trPr>
        <w:tc>
          <w:tcPr>
            <w:tcW w:w="179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b/>
                <w:bCs/>
                <w:sz w:val="16"/>
                <w:szCs w:val="20"/>
                <w:lang w:eastAsia="es-MX"/>
              </w:rPr>
            </w:pPr>
            <w:r w:rsidRPr="00EB5081">
              <w:rPr>
                <w:rFonts w:ascii="Arial" w:hAnsi="Arial" w:cs="Arial"/>
                <w:b/>
                <w:bCs/>
                <w:sz w:val="16"/>
                <w:szCs w:val="20"/>
              </w:rPr>
              <w:t>Paquete de Alumbrado FISM 2020</w:t>
            </w:r>
          </w:p>
        </w:tc>
        <w:tc>
          <w:tcPr>
            <w:tcW w:w="105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b/>
                <w:bCs/>
                <w:sz w:val="16"/>
                <w:szCs w:val="20"/>
              </w:rPr>
            </w:pPr>
          </w:p>
        </w:tc>
        <w:tc>
          <w:tcPr>
            <w:tcW w:w="0" w:type="auto"/>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center"/>
            <w:hideMark/>
          </w:tcPr>
          <w:p w:rsidR="00F5060E" w:rsidRPr="00EB5081" w:rsidRDefault="00F5060E" w:rsidP="00F5060E">
            <w:pPr>
              <w:jc w:val="both"/>
              <w:rPr>
                <w:rFonts w:ascii="Arial" w:hAnsi="Arial" w:cs="Arial"/>
                <w:sz w:val="16"/>
                <w:szCs w:val="20"/>
              </w:rPr>
            </w:pPr>
          </w:p>
        </w:tc>
        <w:tc>
          <w:tcPr>
            <w:tcW w:w="1723"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r>
      <w:tr w:rsidR="00F5060E" w:rsidRPr="00EB5081" w:rsidTr="00B94D89">
        <w:trPr>
          <w:trHeight w:val="300"/>
          <w:jc w:val="center"/>
        </w:trPr>
        <w:tc>
          <w:tcPr>
            <w:tcW w:w="179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105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center"/>
            <w:hideMark/>
          </w:tcPr>
          <w:p w:rsidR="00F5060E" w:rsidRPr="00EB5081" w:rsidRDefault="00F5060E" w:rsidP="00F5060E">
            <w:pPr>
              <w:jc w:val="both"/>
              <w:rPr>
                <w:rFonts w:ascii="Arial" w:hAnsi="Arial" w:cs="Arial"/>
                <w:sz w:val="16"/>
                <w:szCs w:val="20"/>
              </w:rPr>
            </w:pPr>
          </w:p>
        </w:tc>
        <w:tc>
          <w:tcPr>
            <w:tcW w:w="1723"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r>
      <w:tr w:rsidR="00F5060E" w:rsidRPr="00EB5081" w:rsidTr="00B94D89">
        <w:trPr>
          <w:trHeight w:val="480"/>
          <w:jc w:val="center"/>
        </w:trPr>
        <w:tc>
          <w:tcPr>
            <w:tcW w:w="1791"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OBRA</w:t>
            </w:r>
          </w:p>
        </w:tc>
        <w:tc>
          <w:tcPr>
            <w:tcW w:w="1051" w:type="dxa"/>
            <w:tcBorders>
              <w:top w:val="single" w:sz="4" w:space="0" w:color="auto"/>
              <w:left w:val="nil"/>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 xml:space="preserve">TOTAL DE </w:t>
            </w:r>
            <w:r w:rsidRPr="00EB5081">
              <w:rPr>
                <w:rFonts w:ascii="Arial" w:hAnsi="Arial" w:cs="Arial"/>
                <w:b/>
                <w:bCs/>
                <w:sz w:val="16"/>
                <w:szCs w:val="20"/>
              </w:rPr>
              <w:br/>
              <w:t>BENEFICIARIOS</w:t>
            </w:r>
          </w:p>
        </w:tc>
        <w:tc>
          <w:tcPr>
            <w:tcW w:w="1723" w:type="dxa"/>
            <w:tcBorders>
              <w:top w:val="single" w:sz="4" w:space="0" w:color="auto"/>
              <w:left w:val="nil"/>
              <w:bottom w:val="single" w:sz="4" w:space="0" w:color="auto"/>
              <w:right w:val="single" w:sz="4" w:space="0" w:color="auto"/>
            </w:tcBorders>
            <w:shd w:val="clear" w:color="000000" w:fill="A9D08E"/>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MONTO</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598 luminarias Colonia San Pedrito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4,598</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8,598</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8,949</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17,547</w:t>
            </w:r>
          </w:p>
        </w:tc>
        <w:tc>
          <w:tcPr>
            <w:tcW w:w="1723"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4,899,130.08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270 luminarias Colonia La Guadalupana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1,280</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2,415</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2,513</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4,928</w:t>
            </w:r>
          </w:p>
        </w:tc>
        <w:tc>
          <w:tcPr>
            <w:tcW w:w="1723" w:type="dxa"/>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2,220,727.20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508 luminarias Colonia Las Huertas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3,904</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8,001</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8,327</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16,328</w:t>
            </w:r>
          </w:p>
        </w:tc>
        <w:tc>
          <w:tcPr>
            <w:tcW w:w="1723"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4,272,045.68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105 luminarias Colonia La Mezquitera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1,167</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2,506</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2,608</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5,114</w:t>
            </w:r>
          </w:p>
        </w:tc>
        <w:tc>
          <w:tcPr>
            <w:tcW w:w="1723" w:type="dxa"/>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834,956.40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330 luminarias Colonia Francisco I. Madero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2,317</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5,215</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5,427</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10,642</w:t>
            </w:r>
          </w:p>
        </w:tc>
        <w:tc>
          <w:tcPr>
            <w:tcW w:w="1723"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2,604,640.80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Sustitución de 315 luminarias Colonia Tateposco </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2,309</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1,940</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2,019</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3,959</w:t>
            </w:r>
          </w:p>
        </w:tc>
        <w:tc>
          <w:tcPr>
            <w:tcW w:w="1723"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2,690,840.40 </w:t>
            </w:r>
          </w:p>
        </w:tc>
      </w:tr>
      <w:tr w:rsidR="00F5060E" w:rsidRPr="00EB5081" w:rsidTr="00B94D89">
        <w:trPr>
          <w:trHeight w:val="300"/>
          <w:jc w:val="center"/>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lastRenderedPageBreak/>
              <w:t>Sustitución de 750 luminarias Fraccionamiento Villa Fontana</w:t>
            </w:r>
          </w:p>
        </w:tc>
        <w:tc>
          <w:tcPr>
            <w:tcW w:w="1051"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4,067</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3,935</w:t>
            </w:r>
          </w:p>
        </w:tc>
        <w:tc>
          <w:tcPr>
            <w:tcW w:w="0" w:type="auto"/>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4,095</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8,030</w:t>
            </w:r>
          </w:p>
        </w:tc>
        <w:tc>
          <w:tcPr>
            <w:tcW w:w="1723" w:type="dxa"/>
            <w:tcBorders>
              <w:top w:val="nil"/>
              <w:left w:val="nil"/>
              <w:bottom w:val="single" w:sz="4" w:space="0" w:color="auto"/>
              <w:right w:val="single" w:sz="4" w:space="0" w:color="auto"/>
            </w:tcBorders>
            <w:shd w:val="clear" w:color="auto" w:fill="auto"/>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 xml:space="preserve"> $  8,154,405.60 </w:t>
            </w:r>
          </w:p>
        </w:tc>
      </w:tr>
      <w:tr w:rsidR="00F5060E" w:rsidRPr="00EB5081" w:rsidTr="00B94D89">
        <w:trPr>
          <w:trHeight w:val="300"/>
          <w:jc w:val="center"/>
        </w:trPr>
        <w:tc>
          <w:tcPr>
            <w:tcW w:w="179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1051" w:type="dxa"/>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F5060E" w:rsidRPr="00EB5081" w:rsidRDefault="00F5060E" w:rsidP="00F5060E">
            <w:pPr>
              <w:jc w:val="both"/>
              <w:rPr>
                <w:rFonts w:ascii="Arial"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EB5081" w:rsidRDefault="00F5060E" w:rsidP="00F5060E">
            <w:pPr>
              <w:jc w:val="both"/>
              <w:rPr>
                <w:rFonts w:ascii="Arial" w:hAnsi="Arial" w:cs="Arial"/>
                <w:sz w:val="16"/>
                <w:szCs w:val="20"/>
              </w:rPr>
            </w:pPr>
            <w:r w:rsidRPr="00EB5081">
              <w:rPr>
                <w:rFonts w:ascii="Arial" w:hAnsi="Arial" w:cs="Arial"/>
                <w:sz w:val="16"/>
                <w:szCs w:val="20"/>
              </w:rPr>
              <w:t>66,548</w:t>
            </w:r>
          </w:p>
        </w:tc>
        <w:tc>
          <w:tcPr>
            <w:tcW w:w="1723" w:type="dxa"/>
            <w:tcBorders>
              <w:top w:val="nil"/>
              <w:left w:val="nil"/>
              <w:bottom w:val="single" w:sz="4" w:space="0" w:color="auto"/>
              <w:right w:val="single" w:sz="4" w:space="0" w:color="auto"/>
            </w:tcBorders>
            <w:shd w:val="clear" w:color="auto" w:fill="auto"/>
            <w:noWrap/>
            <w:vAlign w:val="bottom"/>
            <w:hideMark/>
          </w:tcPr>
          <w:p w:rsidR="00F5060E" w:rsidRPr="00EB5081" w:rsidRDefault="00F5060E" w:rsidP="00F5060E">
            <w:pPr>
              <w:jc w:val="both"/>
              <w:rPr>
                <w:rFonts w:ascii="Arial" w:hAnsi="Arial" w:cs="Arial"/>
                <w:b/>
                <w:bCs/>
                <w:sz w:val="16"/>
                <w:szCs w:val="20"/>
              </w:rPr>
            </w:pPr>
            <w:r w:rsidRPr="00EB5081">
              <w:rPr>
                <w:rFonts w:ascii="Arial" w:hAnsi="Arial" w:cs="Arial"/>
                <w:b/>
                <w:bCs/>
                <w:sz w:val="16"/>
                <w:szCs w:val="20"/>
              </w:rPr>
              <w:t xml:space="preserve"> $25,676,746.16 </w:t>
            </w:r>
          </w:p>
        </w:tc>
      </w:tr>
    </w:tbl>
    <w:p w:rsidR="00F5060E" w:rsidRPr="00664F83" w:rsidRDefault="00F5060E" w:rsidP="00F5060E">
      <w:pPr>
        <w:jc w:val="both"/>
        <w:rPr>
          <w:rFonts w:ascii="Arial" w:hAnsi="Arial" w:cs="Arial"/>
        </w:rPr>
      </w:pPr>
      <w:r w:rsidRPr="00664F83">
        <w:rPr>
          <w:rFonts w:ascii="Arial" w:hAnsi="Arial" w:cs="Arial"/>
        </w:rPr>
        <w:t>------------------------------------------------------------------------------------------------------------------------------------------------------------------------------------------</w:t>
      </w:r>
      <w:r>
        <w:rPr>
          <w:rFonts w:ascii="Arial" w:hAnsi="Arial" w:cs="Arial"/>
        </w:rPr>
        <w:t>-----------------------------</w:t>
      </w:r>
    </w:p>
    <w:p w:rsidR="00F5060E" w:rsidRPr="004515F0" w:rsidRDefault="00F5060E" w:rsidP="00F5060E">
      <w:pPr>
        <w:jc w:val="both"/>
        <w:rPr>
          <w:rFonts w:ascii="Arial" w:hAnsi="Arial" w:cs="Arial"/>
          <w:sz w:val="24"/>
          <w:szCs w:val="24"/>
        </w:rPr>
      </w:pPr>
      <w:r w:rsidRPr="004515F0">
        <w:rPr>
          <w:rFonts w:ascii="Arial" w:hAnsi="Arial" w:cs="Arial"/>
          <w:b/>
          <w:sz w:val="24"/>
          <w:szCs w:val="24"/>
        </w:rPr>
        <w:t>TERCERO.-</w:t>
      </w:r>
      <w:r w:rsidRPr="004515F0">
        <w:rPr>
          <w:rFonts w:ascii="Arial" w:hAnsi="Arial" w:cs="Arial"/>
          <w:sz w:val="24"/>
          <w:szCs w:val="24"/>
        </w:rPr>
        <w:t xml:space="preserve"> El Ayuntamiento Constitucional de San Pedro Tlaquepaque, Jalisco, aprueba y autoriza facultar al Tesorero Municipal, a erogar hasta la cantidad de </w:t>
      </w:r>
      <w:r w:rsidRPr="004515F0">
        <w:rPr>
          <w:rFonts w:ascii="Arial" w:hAnsi="Arial" w:cs="Arial"/>
          <w:b/>
          <w:sz w:val="24"/>
          <w:szCs w:val="24"/>
        </w:rPr>
        <w:t>$ 7,426,902.32 (Siete millones cuatrocientos veintiséis mil novecientos dos pesos 32/100 M.N.)</w:t>
      </w:r>
      <w:r w:rsidRPr="004515F0">
        <w:rPr>
          <w:rFonts w:ascii="Arial" w:hAnsi="Arial" w:cs="Arial"/>
          <w:sz w:val="24"/>
          <w:szCs w:val="24"/>
        </w:rPr>
        <w:t>, con cargo a la Partida del FORTAMUN ejercicio fiscal 2020, para dar cabal cumplimiento al presente acuerdo, lo anterior una vez agotados los procedimientos de adjudicación que correspondan con apego a la normatividad aplicable, para aplicarse a la siguientes colonias:</w:t>
      </w:r>
    </w:p>
    <w:tbl>
      <w:tblPr>
        <w:tblW w:w="0" w:type="auto"/>
        <w:tblCellMar>
          <w:left w:w="70" w:type="dxa"/>
          <w:right w:w="70" w:type="dxa"/>
        </w:tblCellMar>
        <w:tblLook w:val="04A0" w:firstRow="1" w:lastRow="0" w:firstColumn="1" w:lastColumn="0" w:noHBand="0" w:noVBand="1"/>
      </w:tblPr>
      <w:tblGrid>
        <w:gridCol w:w="2488"/>
        <w:gridCol w:w="1051"/>
        <w:gridCol w:w="1061"/>
        <w:gridCol w:w="1011"/>
        <w:gridCol w:w="1551"/>
        <w:gridCol w:w="1342"/>
      </w:tblGrid>
      <w:tr w:rsidR="00F5060E" w:rsidRPr="00D25DEF" w:rsidTr="00B94D89">
        <w:trPr>
          <w:trHeight w:val="360"/>
        </w:trPr>
        <w:tc>
          <w:tcPr>
            <w:tcW w:w="0" w:type="auto"/>
            <w:gridSpan w:val="6"/>
            <w:tcBorders>
              <w:top w:val="nil"/>
              <w:left w:val="nil"/>
              <w:bottom w:val="nil"/>
              <w:right w:val="nil"/>
            </w:tcBorders>
            <w:shd w:val="clear" w:color="auto" w:fill="auto"/>
            <w:noWrap/>
            <w:vAlign w:val="bottom"/>
            <w:hideMark/>
          </w:tcPr>
          <w:p w:rsidR="00F5060E" w:rsidRPr="00D25DEF" w:rsidRDefault="00F5060E" w:rsidP="00F5060E">
            <w:pPr>
              <w:jc w:val="both"/>
              <w:rPr>
                <w:rFonts w:ascii="Arial" w:hAnsi="Arial" w:cs="Arial"/>
                <w:b/>
                <w:bCs/>
                <w:sz w:val="18"/>
                <w:szCs w:val="20"/>
                <w:lang w:eastAsia="es-MX"/>
              </w:rPr>
            </w:pPr>
            <w:r w:rsidRPr="00D25DEF">
              <w:rPr>
                <w:rFonts w:ascii="Arial" w:hAnsi="Arial" w:cs="Arial"/>
                <w:b/>
                <w:bCs/>
                <w:sz w:val="18"/>
                <w:szCs w:val="20"/>
              </w:rPr>
              <w:t>Paquete de Alumbrado FORTAMUN 2020</w:t>
            </w:r>
          </w:p>
        </w:tc>
      </w:tr>
      <w:tr w:rsidR="00F5060E" w:rsidRPr="00D25DEF" w:rsidTr="00B94D89">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 xml:space="preserve">TOTAL DE </w:t>
            </w:r>
            <w:r w:rsidRPr="00D25DEF">
              <w:rPr>
                <w:rFonts w:ascii="Arial" w:hAnsi="Arial" w:cs="Arial"/>
                <w:b/>
                <w:bCs/>
                <w:sz w:val="18"/>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MONTO</w:t>
            </w:r>
          </w:p>
        </w:tc>
      </w:tr>
      <w:tr w:rsidR="00F5060E" w:rsidRPr="00D25DEF" w:rsidTr="00B94D89">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1,997</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3,121</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3,249</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6,370</w:t>
            </w:r>
          </w:p>
        </w:tc>
        <w:tc>
          <w:tcPr>
            <w:tcW w:w="0" w:type="auto"/>
            <w:tcBorders>
              <w:top w:val="nil"/>
              <w:left w:val="nil"/>
              <w:bottom w:val="single" w:sz="4" w:space="0" w:color="auto"/>
              <w:right w:val="single" w:sz="4" w:space="0" w:color="auto"/>
            </w:tcBorders>
            <w:shd w:val="clear" w:color="000000" w:fill="FFFFFF"/>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 $3,677,264.96 </w:t>
            </w:r>
          </w:p>
        </w:tc>
      </w:tr>
      <w:tr w:rsidR="00F5060E" w:rsidRPr="00D25DEF" w:rsidTr="00B94D8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1,559</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3,272</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3,405</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6,677</w:t>
            </w:r>
          </w:p>
        </w:tc>
        <w:tc>
          <w:tcPr>
            <w:tcW w:w="0" w:type="auto"/>
            <w:tcBorders>
              <w:top w:val="nil"/>
              <w:left w:val="nil"/>
              <w:bottom w:val="single" w:sz="4" w:space="0" w:color="auto"/>
              <w:right w:val="single" w:sz="4" w:space="0" w:color="auto"/>
            </w:tcBorders>
            <w:shd w:val="clear" w:color="000000" w:fill="FFFFFF"/>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 $1,857,804.96 </w:t>
            </w:r>
          </w:p>
        </w:tc>
      </w:tr>
      <w:tr w:rsidR="00F5060E" w:rsidRPr="00D25DEF" w:rsidTr="00B94D8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993</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1,589</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1,654</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 $   949,900.80 </w:t>
            </w:r>
          </w:p>
        </w:tc>
      </w:tr>
      <w:tr w:rsidR="00F5060E" w:rsidRPr="00D25DEF" w:rsidTr="00B94D8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705</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1,397</w:t>
            </w:r>
          </w:p>
        </w:tc>
        <w:tc>
          <w:tcPr>
            <w:tcW w:w="0" w:type="auto"/>
            <w:tcBorders>
              <w:top w:val="nil"/>
              <w:left w:val="nil"/>
              <w:bottom w:val="single" w:sz="4" w:space="0" w:color="auto"/>
              <w:right w:val="single" w:sz="4" w:space="0" w:color="auto"/>
            </w:tcBorders>
            <w:shd w:val="clear" w:color="auto" w:fill="auto"/>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1,455</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 xml:space="preserve"> $   941,931.60 </w:t>
            </w:r>
          </w:p>
        </w:tc>
      </w:tr>
      <w:tr w:rsidR="00F5060E" w:rsidRPr="00D25DEF" w:rsidTr="00B94D89">
        <w:trPr>
          <w:trHeight w:val="300"/>
        </w:trPr>
        <w:tc>
          <w:tcPr>
            <w:tcW w:w="0" w:type="auto"/>
            <w:tcBorders>
              <w:top w:val="nil"/>
              <w:left w:val="nil"/>
              <w:bottom w:val="nil"/>
              <w:right w:val="nil"/>
            </w:tcBorders>
            <w:shd w:val="clear" w:color="auto" w:fill="auto"/>
            <w:noWrap/>
            <w:vAlign w:val="bottom"/>
            <w:hideMark/>
          </w:tcPr>
          <w:p w:rsidR="00F5060E" w:rsidRPr="00D25DEF" w:rsidRDefault="00F5060E" w:rsidP="00F5060E">
            <w:pPr>
              <w:jc w:val="both"/>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rsidR="00F5060E" w:rsidRPr="00D25DEF" w:rsidRDefault="00F5060E" w:rsidP="00F5060E">
            <w:pPr>
              <w:jc w:val="both"/>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rsidR="00F5060E" w:rsidRPr="00D25DEF" w:rsidRDefault="00F5060E" w:rsidP="00F5060E">
            <w:pPr>
              <w:jc w:val="both"/>
              <w:rPr>
                <w:rFonts w:ascii="Arial" w:hAnsi="Arial" w:cs="Arial"/>
                <w:sz w:val="18"/>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5060E" w:rsidRPr="00D25DEF" w:rsidRDefault="00F5060E" w:rsidP="00F5060E">
            <w:pPr>
              <w:jc w:val="both"/>
              <w:rPr>
                <w:rFonts w:ascii="Arial" w:hAnsi="Arial" w:cs="Arial"/>
                <w:sz w:val="18"/>
                <w:szCs w:val="20"/>
              </w:rPr>
            </w:pPr>
            <w:r w:rsidRPr="00D25DEF">
              <w:rPr>
                <w:rFonts w:ascii="Arial" w:hAnsi="Arial" w:cs="Arial"/>
                <w:sz w:val="18"/>
                <w:szCs w:val="20"/>
              </w:rPr>
              <w:t>19,142</w:t>
            </w:r>
          </w:p>
        </w:tc>
        <w:tc>
          <w:tcPr>
            <w:tcW w:w="0" w:type="auto"/>
            <w:tcBorders>
              <w:top w:val="nil"/>
              <w:left w:val="nil"/>
              <w:bottom w:val="single" w:sz="4" w:space="0" w:color="auto"/>
              <w:right w:val="single" w:sz="4" w:space="0" w:color="auto"/>
            </w:tcBorders>
            <w:shd w:val="clear" w:color="auto" w:fill="auto"/>
            <w:noWrap/>
            <w:vAlign w:val="bottom"/>
            <w:hideMark/>
          </w:tcPr>
          <w:p w:rsidR="00F5060E" w:rsidRPr="00D25DEF" w:rsidRDefault="00F5060E" w:rsidP="00F5060E">
            <w:pPr>
              <w:jc w:val="both"/>
              <w:rPr>
                <w:rFonts w:ascii="Arial" w:hAnsi="Arial" w:cs="Arial"/>
                <w:b/>
                <w:bCs/>
                <w:sz w:val="18"/>
                <w:szCs w:val="20"/>
              </w:rPr>
            </w:pPr>
            <w:r w:rsidRPr="00D25DEF">
              <w:rPr>
                <w:rFonts w:ascii="Arial" w:hAnsi="Arial" w:cs="Arial"/>
                <w:b/>
                <w:bCs/>
                <w:sz w:val="18"/>
                <w:szCs w:val="20"/>
              </w:rPr>
              <w:t xml:space="preserve"> $7,426,902.32 </w:t>
            </w:r>
          </w:p>
        </w:tc>
      </w:tr>
    </w:tbl>
    <w:p w:rsidR="00A20BB9" w:rsidRDefault="00F5060E" w:rsidP="00F5060E">
      <w:pPr>
        <w:jc w:val="both"/>
      </w:pPr>
      <w:r>
        <w:rPr>
          <w:rFonts w:ascii="Arial" w:hAnsi="Arial" w:cs="Arial"/>
        </w:rPr>
        <w:t>-------------------------------------------------------------------------------------------------------------</w:t>
      </w:r>
      <w:r w:rsidRPr="004515F0">
        <w:rPr>
          <w:rFonts w:ascii="Arial" w:hAnsi="Arial" w:cs="Arial"/>
          <w:sz w:val="24"/>
          <w:szCs w:val="24"/>
        </w:rPr>
        <w:t>--------------------------------------------------------------------------------------------------</w:t>
      </w:r>
      <w:r w:rsidRPr="004515F0">
        <w:rPr>
          <w:rFonts w:ascii="Arial" w:hAnsi="Arial" w:cs="Arial"/>
          <w:b/>
          <w:sz w:val="24"/>
          <w:szCs w:val="24"/>
        </w:rPr>
        <w:t>CUARTO.-</w:t>
      </w:r>
      <w:r w:rsidRPr="004515F0">
        <w:rPr>
          <w:rFonts w:ascii="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Pr>
          <w:rFonts w:ascii="Arial" w:hAnsi="Arial" w:cs="Arial"/>
          <w:sz w:val="24"/>
          <w:szCs w:val="24"/>
        </w:rPr>
        <w:t>-------------------------------------------</w:t>
      </w:r>
      <w:r w:rsidRPr="004515F0">
        <w:rPr>
          <w:rFonts w:ascii="Arial" w:hAnsi="Arial" w:cs="Arial"/>
          <w:sz w:val="24"/>
          <w:szCs w:val="24"/>
        </w:rPr>
        <w:t>--------------------------------------------------------</w:t>
      </w:r>
      <w:r w:rsidRPr="004515F0">
        <w:rPr>
          <w:rFonts w:ascii="Arial" w:hAnsi="Arial" w:cs="Arial"/>
          <w:b/>
          <w:bCs/>
          <w:sz w:val="24"/>
          <w:szCs w:val="24"/>
        </w:rPr>
        <w:t>QUINTO.-</w:t>
      </w:r>
      <w:r w:rsidRPr="004515F0">
        <w:rPr>
          <w:rFonts w:ascii="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sidRPr="004515F0">
        <w:rPr>
          <w:rFonts w:ascii="Arial" w:hAnsi="Arial" w:cs="Arial"/>
          <w:b/>
          <w:sz w:val="24"/>
          <w:szCs w:val="24"/>
        </w:rPr>
        <w:t>Sustitución de luminarias y equipamiento técnico para las mismas</w:t>
      </w:r>
      <w:r w:rsidRPr="004515F0">
        <w:rPr>
          <w:rFonts w:ascii="Arial" w:hAnsi="Arial" w:cs="Arial"/>
          <w:sz w:val="24"/>
          <w:szCs w:val="24"/>
        </w:rPr>
        <w:t>, tal y como se desprende en el presente acuerdo.-----------------------------------------------</w:t>
      </w:r>
      <w:r w:rsidRPr="004515F0">
        <w:rPr>
          <w:rFonts w:ascii="Arial" w:hAnsi="Arial" w:cs="Arial"/>
          <w:sz w:val="24"/>
          <w:szCs w:val="24"/>
        </w:rPr>
        <w:lastRenderedPageBreak/>
        <w:t>-------------------------------------------------------------------------</w:t>
      </w:r>
      <w:r w:rsidRPr="004515F0">
        <w:rPr>
          <w:rFonts w:ascii="Arial" w:hAnsi="Arial" w:cs="Arial"/>
          <w:b/>
          <w:sz w:val="24"/>
          <w:szCs w:val="24"/>
        </w:rPr>
        <w:t>F</w:t>
      </w:r>
      <w:r w:rsidRPr="00AA47D3">
        <w:rPr>
          <w:rFonts w:ascii="Arial" w:hAnsi="Arial" w:cs="Arial"/>
          <w:b/>
          <w:sz w:val="24"/>
          <w:szCs w:val="24"/>
        </w:rPr>
        <w:t>UNDAMENTO LEGAL.-</w:t>
      </w:r>
      <w:r w:rsidRPr="00AA47D3">
        <w:rPr>
          <w:rFonts w:ascii="Arial" w:hAnsi="Arial" w:cs="Arial"/>
          <w:i/>
          <w:sz w:val="24"/>
          <w:szCs w:val="24"/>
        </w:rPr>
        <w:t xml:space="preserve"> </w:t>
      </w:r>
      <w:r w:rsidRPr="00AA47D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AA47D3">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Pr="006A4DB4">
        <w:rPr>
          <w:rStyle w:val="Fuentedeprrafopredeter1"/>
          <w:rFonts w:ascii="Arial" w:hAnsi="Arial" w:cs="Arial"/>
          <w:sz w:val="24"/>
          <w:szCs w:val="24"/>
        </w:rPr>
        <w:t>Constitucional de San Pedro Tlaquepaque</w:t>
      </w:r>
      <w:r w:rsidRPr="006A4DB4">
        <w:rPr>
          <w:rFonts w:ascii="Arial" w:hAnsi="Arial" w:cs="Arial"/>
          <w:sz w:val="24"/>
          <w:szCs w:val="24"/>
        </w:rPr>
        <w:t>.--</w:t>
      </w:r>
      <w:r>
        <w:rPr>
          <w:rFonts w:ascii="Arial" w:hAnsi="Arial" w:cs="Arial"/>
          <w:sz w:val="24"/>
          <w:szCs w:val="24"/>
        </w:rPr>
        <w:t>------------------------------------------------------------------------------------------------------------------------------------------</w:t>
      </w:r>
      <w:r w:rsidRPr="006A4DB4">
        <w:rPr>
          <w:rFonts w:ascii="Arial" w:hAnsi="Arial" w:cs="Arial"/>
          <w:b/>
          <w:sz w:val="24"/>
          <w:szCs w:val="24"/>
        </w:rPr>
        <w:t xml:space="preserve">NOTIFÍQUESE.- </w:t>
      </w:r>
      <w:r w:rsidRPr="006A4DB4">
        <w:rPr>
          <w:rFonts w:ascii="Arial" w:hAnsi="Arial" w:cs="Arial"/>
          <w:sz w:val="24"/>
          <w:szCs w:val="24"/>
        </w:rPr>
        <w:t>Presidenta Municipal, Síndico Municipal, Tesorero Municipal, Contralor Ciudadano, Coordinador de Servicios Públicos Municipales, Director General de Políticas Públicas, Director de Alumbrado Público, Director de Proveeduría, Jefa de Gabinete, para su conocimiento y efectos legales a que haya lugar.----------------------------------</w:t>
      </w:r>
    </w:p>
    <w:sectPr w:rsidR="00A20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E"/>
    <w:rsid w:val="006A7D1D"/>
    <w:rsid w:val="00E0461B"/>
    <w:rsid w:val="00F506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392D-139F-47B1-A126-9C4D7550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0E"/>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5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Gloria Jaqueline Cantero Mariscal</cp:lastModifiedBy>
  <cp:revision>1</cp:revision>
  <dcterms:created xsi:type="dcterms:W3CDTF">2020-03-04T16:36:00Z</dcterms:created>
  <dcterms:modified xsi:type="dcterms:W3CDTF">2020-03-04T16:37:00Z</dcterms:modified>
</cp:coreProperties>
</file>