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99" w:rsidRDefault="00787253" w:rsidP="00C7191E">
      <w:pPr>
        <w:jc w:val="center"/>
        <w:rPr>
          <w:sz w:val="24"/>
          <w:szCs w:val="24"/>
        </w:rPr>
      </w:pPr>
      <w:r>
        <w:rPr>
          <w:sz w:val="24"/>
          <w:szCs w:val="24"/>
        </w:rPr>
        <w:t>MINUTA DE LA 4ta. SESION DE LA</w:t>
      </w:r>
      <w:r w:rsidR="00C7191E">
        <w:rPr>
          <w:sz w:val="24"/>
          <w:szCs w:val="24"/>
        </w:rPr>
        <w:t xml:space="preserve"> COMISIÓN EDILICIA DE REGLAMENTOS MUNICIPALES Y PUNTOS LEGISLATIVOS RELATIVO AL ACUERDO 1037/2019 </w:t>
      </w:r>
    </w:p>
    <w:p w:rsidR="00787253" w:rsidRDefault="00787253" w:rsidP="00C7191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7191E" w:rsidRDefault="00C7191E" w:rsidP="00C7191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645BF">
        <w:rPr>
          <w:rFonts w:ascii="Arial" w:hAnsi="Arial" w:cs="Arial"/>
          <w:color w:val="000000" w:themeColor="text1"/>
          <w:sz w:val="24"/>
          <w:szCs w:val="24"/>
        </w:rPr>
        <w:t xml:space="preserve">San Pedro Tlaquepaque, </w:t>
      </w:r>
      <w:r>
        <w:rPr>
          <w:rFonts w:ascii="Arial" w:hAnsi="Arial" w:cs="Arial"/>
          <w:color w:val="000000" w:themeColor="text1"/>
          <w:sz w:val="24"/>
          <w:szCs w:val="24"/>
        </w:rPr>
        <w:t>Jalisco., a 22 de ma</w:t>
      </w:r>
      <w:r w:rsidRPr="005645BF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5645BF">
        <w:rPr>
          <w:rFonts w:ascii="Arial" w:hAnsi="Arial" w:cs="Arial"/>
          <w:color w:val="000000" w:themeColor="text1"/>
          <w:sz w:val="24"/>
          <w:szCs w:val="24"/>
        </w:rPr>
        <w:t>o de 2019.</w:t>
      </w:r>
    </w:p>
    <w:p w:rsidR="00C7191E" w:rsidRPr="007341AA" w:rsidRDefault="00C7191E" w:rsidP="00C7191E">
      <w:pPr>
        <w:jc w:val="both"/>
        <w:rPr>
          <w:rFonts w:ascii="Arial" w:hAnsi="Arial" w:cs="Arial"/>
          <w:b/>
          <w:sz w:val="24"/>
          <w:szCs w:val="24"/>
        </w:rPr>
      </w:pPr>
      <w:r w:rsidRPr="005645BF">
        <w:rPr>
          <w:rFonts w:ascii="Arial" w:hAnsi="Arial" w:cs="Arial"/>
          <w:color w:val="000000" w:themeColor="text1"/>
          <w:sz w:val="24"/>
          <w:szCs w:val="24"/>
        </w:rPr>
        <w:t>José Luis Salazar Martínez,</w:t>
      </w:r>
      <w:r w:rsidRPr="00A82A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 de la Comisión Edilicia de Reglamentos Municipales y Puntos Legislativos</w:t>
      </w:r>
      <w:r w:rsidRPr="005645BF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uenos día</w:t>
      </w:r>
      <w:r w:rsidRPr="00E87BA6">
        <w:rPr>
          <w:rFonts w:ascii="Arial" w:hAnsi="Arial" w:cs="Arial"/>
          <w:sz w:val="24"/>
          <w:szCs w:val="24"/>
        </w:rPr>
        <w:t xml:space="preserve">s, doy la bienvenida a mis compañeros y compañeras </w:t>
      </w:r>
      <w:r>
        <w:rPr>
          <w:rFonts w:ascii="Arial" w:hAnsi="Arial" w:cs="Arial"/>
          <w:sz w:val="24"/>
          <w:szCs w:val="24"/>
        </w:rPr>
        <w:t>R</w:t>
      </w:r>
      <w:r w:rsidRPr="00E87BA6">
        <w:rPr>
          <w:rFonts w:ascii="Arial" w:hAnsi="Arial" w:cs="Arial"/>
          <w:sz w:val="24"/>
          <w:szCs w:val="24"/>
        </w:rPr>
        <w:t>egidores, personal de la Secretaría del Ayuntamiento,  así como al público en general que nos acompaña,</w:t>
      </w:r>
      <w:r w:rsidR="00704EC8">
        <w:rPr>
          <w:rFonts w:ascii="Arial" w:hAnsi="Arial" w:cs="Arial"/>
          <w:sz w:val="24"/>
          <w:szCs w:val="24"/>
        </w:rPr>
        <w:t xml:space="preserve"> siendo las 11:05 (once horas con cinco minutos)</w:t>
      </w:r>
      <w:r w:rsidRPr="00E87BA6">
        <w:rPr>
          <w:rFonts w:ascii="Arial" w:hAnsi="Arial" w:cs="Arial"/>
          <w:sz w:val="24"/>
          <w:szCs w:val="24"/>
        </w:rPr>
        <w:t xml:space="preserve"> del día</w:t>
      </w:r>
      <w:r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ma</w:t>
      </w:r>
      <w:r w:rsidRPr="007341AA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7341AA">
        <w:rPr>
          <w:rFonts w:ascii="Arial" w:hAnsi="Arial" w:cs="Arial"/>
          <w:color w:val="000000" w:themeColor="text1"/>
          <w:sz w:val="24"/>
          <w:szCs w:val="24"/>
        </w:rPr>
        <w:t>o del 2019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7341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encontrándonos en la </w:t>
      </w:r>
      <w:r w:rsidRPr="007D66BE">
        <w:rPr>
          <w:rFonts w:ascii="Arial" w:hAnsi="Arial" w:cs="Arial"/>
          <w:sz w:val="24"/>
          <w:szCs w:val="24"/>
        </w:rPr>
        <w:t>Sala de Sesiones del Pleno</w:t>
      </w:r>
      <w:r>
        <w:rPr>
          <w:rFonts w:ascii="Arial" w:hAnsi="Arial" w:cs="Arial"/>
          <w:sz w:val="24"/>
          <w:szCs w:val="24"/>
        </w:rPr>
        <w:t xml:space="preserve"> del Ayuntamiento</w:t>
      </w:r>
      <w:r w:rsidRPr="00E87BA6">
        <w:rPr>
          <w:rFonts w:ascii="Arial" w:hAnsi="Arial" w:cs="Arial"/>
          <w:sz w:val="24"/>
          <w:szCs w:val="24"/>
        </w:rPr>
        <w:t>, y con fundamento en lo dispuesto por los artículos</w:t>
      </w:r>
      <w:r>
        <w:rPr>
          <w:rFonts w:ascii="Arial" w:hAnsi="Arial" w:cs="Arial"/>
          <w:sz w:val="24"/>
          <w:szCs w:val="24"/>
        </w:rPr>
        <w:t xml:space="preserve"> 35 fracción II,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73, 74, 77, 78, </w:t>
      </w:r>
      <w:r w:rsidRPr="00E87BA6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,</w:t>
      </w:r>
      <w:r w:rsidRPr="00E87BA6">
        <w:rPr>
          <w:rFonts w:ascii="Arial" w:hAnsi="Arial" w:cs="Arial"/>
          <w:sz w:val="24"/>
          <w:szCs w:val="24"/>
        </w:rPr>
        <w:t xml:space="preserve"> 87 fracción I, II y VII</w:t>
      </w:r>
      <w:r>
        <w:rPr>
          <w:rFonts w:ascii="Arial" w:hAnsi="Arial" w:cs="Arial"/>
          <w:sz w:val="24"/>
          <w:szCs w:val="24"/>
        </w:rPr>
        <w:t xml:space="preserve"> y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95 </w:t>
      </w:r>
      <w:r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</w:t>
      </w:r>
      <w:r w:rsidRPr="007341AA">
        <w:rPr>
          <w:rFonts w:ascii="Arial" w:hAnsi="Arial" w:cs="Arial"/>
          <w:b/>
          <w:sz w:val="24"/>
          <w:szCs w:val="24"/>
        </w:rPr>
        <w:t xml:space="preserve">damos inicio a la </w:t>
      </w:r>
      <w:r>
        <w:rPr>
          <w:rFonts w:ascii="Arial" w:hAnsi="Arial" w:cs="Arial"/>
          <w:b/>
          <w:sz w:val="24"/>
          <w:szCs w:val="24"/>
        </w:rPr>
        <w:t xml:space="preserve">4ta </w:t>
      </w:r>
      <w:r w:rsidRPr="007341AA">
        <w:rPr>
          <w:rFonts w:ascii="Arial" w:hAnsi="Arial" w:cs="Arial"/>
          <w:b/>
          <w:sz w:val="24"/>
          <w:szCs w:val="24"/>
        </w:rPr>
        <w:t xml:space="preserve">Sesión de la Comisión Edilicia de Reglamentos Municipales y Puntos Legislativos </w:t>
      </w:r>
      <w:r>
        <w:rPr>
          <w:rFonts w:ascii="Arial" w:hAnsi="Arial" w:cs="Arial"/>
          <w:b/>
          <w:sz w:val="24"/>
          <w:szCs w:val="24"/>
        </w:rPr>
        <w:t xml:space="preserve">como convocante y a la </w:t>
      </w:r>
      <w:r w:rsidRPr="007341AA">
        <w:rPr>
          <w:rFonts w:ascii="Arial" w:hAnsi="Arial" w:cs="Arial"/>
          <w:b/>
          <w:sz w:val="24"/>
          <w:szCs w:val="24"/>
        </w:rPr>
        <w:t>Comisión Edilicia de</w:t>
      </w:r>
      <w:r>
        <w:rPr>
          <w:rFonts w:ascii="Arial" w:hAnsi="Arial" w:cs="Arial"/>
          <w:b/>
          <w:sz w:val="24"/>
          <w:szCs w:val="24"/>
        </w:rPr>
        <w:t xml:space="preserve"> Desarrollo Social y Humano como coadyuvante en el turno autorizado por el Pleno del Ayuntamiento con el número 1037/2019/TC de fecha 26 de febrero 2019</w:t>
      </w:r>
      <w:r w:rsidRPr="007341AA">
        <w:rPr>
          <w:rFonts w:ascii="Arial" w:hAnsi="Arial" w:cs="Arial"/>
          <w:b/>
          <w:sz w:val="24"/>
          <w:szCs w:val="24"/>
        </w:rPr>
        <w:t>.</w:t>
      </w:r>
    </w:p>
    <w:p w:rsidR="00C7191E" w:rsidRPr="00F32C78" w:rsidRDefault="00C7191E" w:rsidP="00C7191E">
      <w:pPr>
        <w:jc w:val="both"/>
        <w:rPr>
          <w:sz w:val="28"/>
          <w:szCs w:val="28"/>
        </w:rPr>
      </w:pPr>
      <w:r w:rsidRPr="00E87BA6">
        <w:rPr>
          <w:rFonts w:ascii="Arial" w:hAnsi="Arial" w:cs="Arial"/>
          <w:sz w:val="24"/>
          <w:szCs w:val="24"/>
        </w:rPr>
        <w:t xml:space="preserve">En estos momentos, se 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>sistencia</w:t>
      </w:r>
      <w:r>
        <w:rPr>
          <w:rFonts w:ascii="Arial" w:hAnsi="Arial" w:cs="Arial"/>
          <w:sz w:val="24"/>
          <w:szCs w:val="24"/>
        </w:rPr>
        <w:t xml:space="preserve"> de la Comisión Edilicia de Reglamentos Municipales y Puntos Legislativos</w:t>
      </w:r>
      <w:r w:rsidRPr="00E87BA6">
        <w:rPr>
          <w:rFonts w:ascii="Arial" w:hAnsi="Arial" w:cs="Arial"/>
          <w:sz w:val="24"/>
          <w:szCs w:val="24"/>
        </w:rPr>
        <w:t xml:space="preserve">, 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"/>
        <w:gridCol w:w="1702"/>
        <w:gridCol w:w="1746"/>
        <w:gridCol w:w="1397"/>
        <w:gridCol w:w="1289"/>
        <w:gridCol w:w="1653"/>
      </w:tblGrid>
      <w:tr w:rsidR="00C7191E" w:rsidRPr="00F32C78" w:rsidTr="00704EC8">
        <w:tc>
          <w:tcPr>
            <w:tcW w:w="1041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7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89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3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C7191E" w:rsidRPr="00F32C78" w:rsidTr="00704EC8">
        <w:tc>
          <w:tcPr>
            <w:tcW w:w="1041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Presidente de la Comisión Edilicia </w:t>
            </w:r>
            <w:r>
              <w:rPr>
                <w:rFonts w:ascii="Arial" w:hAnsi="Arial" w:cs="Arial"/>
                <w:sz w:val="24"/>
                <w:szCs w:val="24"/>
              </w:rPr>
              <w:t>de Reglamentos</w:t>
            </w:r>
          </w:p>
        </w:tc>
        <w:tc>
          <w:tcPr>
            <w:tcW w:w="174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7" w:type="dxa"/>
          </w:tcPr>
          <w:p w:rsidR="00C7191E" w:rsidRPr="00704EC8" w:rsidRDefault="00C7191E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91E" w:rsidRPr="00F32C78" w:rsidTr="00704EC8">
        <w:tc>
          <w:tcPr>
            <w:tcW w:w="1041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4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7" w:type="dxa"/>
          </w:tcPr>
          <w:p w:rsidR="00C7191E" w:rsidRPr="00704EC8" w:rsidRDefault="00C7191E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EC8" w:rsidRPr="00F32C78" w:rsidTr="00704EC8">
        <w:tc>
          <w:tcPr>
            <w:tcW w:w="1041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46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7" w:type="dxa"/>
          </w:tcPr>
          <w:p w:rsidR="00704EC8" w:rsidRPr="00704EC8" w:rsidRDefault="00704EC8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EC8" w:rsidRPr="00F32C78" w:rsidTr="00704EC8">
        <w:tc>
          <w:tcPr>
            <w:tcW w:w="1041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46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Hogla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Bustos Serrano</w:t>
            </w:r>
          </w:p>
        </w:tc>
        <w:tc>
          <w:tcPr>
            <w:tcW w:w="1397" w:type="dxa"/>
          </w:tcPr>
          <w:p w:rsidR="00704EC8" w:rsidRPr="00704EC8" w:rsidRDefault="00704EC8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EC8" w:rsidRPr="00F32C78" w:rsidTr="00704EC8">
        <w:tc>
          <w:tcPr>
            <w:tcW w:w="1041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46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Miroslava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Maya Ávila</w:t>
            </w:r>
          </w:p>
        </w:tc>
        <w:tc>
          <w:tcPr>
            <w:tcW w:w="1397" w:type="dxa"/>
          </w:tcPr>
          <w:p w:rsidR="00704EC8" w:rsidRPr="00704EC8" w:rsidRDefault="00704EC8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EC8" w:rsidRPr="00F32C78" w:rsidTr="00704EC8">
        <w:tc>
          <w:tcPr>
            <w:tcW w:w="1041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46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 w:rsidRPr="00102E69"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7" w:type="dxa"/>
          </w:tcPr>
          <w:p w:rsidR="00704EC8" w:rsidRPr="00704EC8" w:rsidRDefault="00704EC8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EC8" w:rsidRPr="00F32C78" w:rsidTr="00704EC8">
        <w:tc>
          <w:tcPr>
            <w:tcW w:w="1041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46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Alina Elizabeth Hernández Castañeda</w:t>
            </w:r>
          </w:p>
        </w:tc>
        <w:tc>
          <w:tcPr>
            <w:tcW w:w="1397" w:type="dxa"/>
          </w:tcPr>
          <w:p w:rsidR="00704EC8" w:rsidRPr="00704EC8" w:rsidRDefault="00704EC8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</w:p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Doy cuenta a Ustedes que se</w:t>
      </w:r>
      <w:r w:rsidR="00704EC8">
        <w:rPr>
          <w:rFonts w:ascii="Arial" w:hAnsi="Arial" w:cs="Arial"/>
          <w:sz w:val="24"/>
          <w:szCs w:val="24"/>
        </w:rPr>
        <w:t xml:space="preserve"> encuentran presentes 7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</w:t>
      </w:r>
      <w:r w:rsidRPr="00E87BA6">
        <w:rPr>
          <w:rFonts w:ascii="Arial" w:hAnsi="Arial" w:cs="Arial"/>
          <w:sz w:val="24"/>
          <w:szCs w:val="24"/>
        </w:rPr>
        <w:t xml:space="preserve">existe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7191E" w:rsidRDefault="00C7191E" w:rsidP="00C7191E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continuación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>sistencia</w:t>
      </w:r>
      <w:r>
        <w:rPr>
          <w:rFonts w:ascii="Arial" w:hAnsi="Arial" w:cs="Arial"/>
          <w:sz w:val="24"/>
          <w:szCs w:val="24"/>
        </w:rPr>
        <w:t xml:space="preserve"> de la Comisión Edilicia de Desarrollo Social y Humano</w:t>
      </w:r>
      <w:r w:rsidRPr="00E87BA6">
        <w:rPr>
          <w:rFonts w:ascii="Arial" w:hAnsi="Arial" w:cs="Arial"/>
          <w:sz w:val="24"/>
          <w:szCs w:val="24"/>
        </w:rPr>
        <w:t xml:space="preserve">, 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p w:rsidR="00787253" w:rsidRDefault="00787253" w:rsidP="00C7191E">
      <w:pPr>
        <w:jc w:val="both"/>
        <w:rPr>
          <w:sz w:val="28"/>
          <w:szCs w:val="28"/>
        </w:rPr>
      </w:pPr>
    </w:p>
    <w:p w:rsidR="00787253" w:rsidRDefault="00787253" w:rsidP="00C7191E">
      <w:pPr>
        <w:jc w:val="both"/>
        <w:rPr>
          <w:sz w:val="28"/>
          <w:szCs w:val="28"/>
        </w:rPr>
      </w:pPr>
    </w:p>
    <w:p w:rsidR="00787253" w:rsidRDefault="00787253" w:rsidP="00C7191E">
      <w:pPr>
        <w:jc w:val="both"/>
        <w:rPr>
          <w:sz w:val="28"/>
          <w:szCs w:val="28"/>
        </w:rPr>
      </w:pPr>
    </w:p>
    <w:p w:rsidR="00787253" w:rsidRDefault="00787253" w:rsidP="00C7191E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"/>
        <w:gridCol w:w="1686"/>
        <w:gridCol w:w="1724"/>
        <w:gridCol w:w="1399"/>
        <w:gridCol w:w="1303"/>
        <w:gridCol w:w="1656"/>
      </w:tblGrid>
      <w:tr w:rsidR="00C7191E" w:rsidRPr="00F32C78" w:rsidTr="00704EC8">
        <w:tc>
          <w:tcPr>
            <w:tcW w:w="1060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C7191E" w:rsidRPr="00F32C78" w:rsidTr="00704EC8">
        <w:tc>
          <w:tcPr>
            <w:tcW w:w="1060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de la Comisión Edilicia de Desarrollo Social y Humano</w:t>
            </w:r>
          </w:p>
        </w:tc>
        <w:tc>
          <w:tcPr>
            <w:tcW w:w="1724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399" w:type="dxa"/>
          </w:tcPr>
          <w:p w:rsidR="00C7191E" w:rsidRPr="00704EC8" w:rsidRDefault="00C7191E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91E" w:rsidRPr="00F32C78" w:rsidTr="00704EC8">
        <w:tc>
          <w:tcPr>
            <w:tcW w:w="1060" w:type="dxa"/>
          </w:tcPr>
          <w:p w:rsidR="00C7191E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Hogla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Bustos Serrano</w:t>
            </w:r>
          </w:p>
        </w:tc>
        <w:tc>
          <w:tcPr>
            <w:tcW w:w="1399" w:type="dxa"/>
          </w:tcPr>
          <w:p w:rsidR="00C7191E" w:rsidRPr="00704EC8" w:rsidRDefault="00C7191E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91E" w:rsidRPr="00F32C78" w:rsidTr="00704EC8">
        <w:tc>
          <w:tcPr>
            <w:tcW w:w="1060" w:type="dxa"/>
          </w:tcPr>
          <w:p w:rsidR="00C7191E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C7191E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Betsabe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Dolores Almaguer Esparza</w:t>
            </w:r>
          </w:p>
        </w:tc>
        <w:tc>
          <w:tcPr>
            <w:tcW w:w="1399" w:type="dxa"/>
          </w:tcPr>
          <w:p w:rsidR="00C7191E" w:rsidRPr="00704EC8" w:rsidRDefault="00C7191E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91E" w:rsidRPr="00F32C78" w:rsidTr="00704EC8">
        <w:trPr>
          <w:trHeight w:val="909"/>
        </w:trPr>
        <w:tc>
          <w:tcPr>
            <w:tcW w:w="1060" w:type="dxa"/>
          </w:tcPr>
          <w:p w:rsidR="00C7191E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Jorge Antonio Chávez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Ambriz</w:t>
            </w:r>
            <w:proofErr w:type="spellEnd"/>
          </w:p>
        </w:tc>
        <w:tc>
          <w:tcPr>
            <w:tcW w:w="1399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C7191E" w:rsidRPr="00BE0EA2" w:rsidRDefault="00C7191E" w:rsidP="0059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C7191E" w:rsidRPr="00704EC8" w:rsidRDefault="00C7191E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EC8" w:rsidRPr="00F32C78" w:rsidTr="00704EC8">
        <w:tc>
          <w:tcPr>
            <w:tcW w:w="1060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Miroslava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Maya Ávila</w:t>
            </w:r>
          </w:p>
        </w:tc>
        <w:tc>
          <w:tcPr>
            <w:tcW w:w="1399" w:type="dxa"/>
          </w:tcPr>
          <w:p w:rsidR="00704EC8" w:rsidRPr="00704EC8" w:rsidRDefault="00704EC8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EC8" w:rsidRPr="00F32C78" w:rsidTr="00704EC8">
        <w:tc>
          <w:tcPr>
            <w:tcW w:w="1060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Silbia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Cázarez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Reyes</w:t>
            </w:r>
          </w:p>
        </w:tc>
        <w:tc>
          <w:tcPr>
            <w:tcW w:w="1399" w:type="dxa"/>
          </w:tcPr>
          <w:p w:rsidR="00704EC8" w:rsidRPr="00704EC8" w:rsidRDefault="00704EC8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EC8" w:rsidRPr="00F32C78" w:rsidTr="00704EC8">
        <w:tc>
          <w:tcPr>
            <w:tcW w:w="1060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Vázquez Llamas</w:t>
            </w:r>
          </w:p>
        </w:tc>
        <w:tc>
          <w:tcPr>
            <w:tcW w:w="1399" w:type="dxa"/>
          </w:tcPr>
          <w:p w:rsidR="00704EC8" w:rsidRPr="004A7F96" w:rsidRDefault="00704EC8" w:rsidP="004A7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EC8" w:rsidRPr="00F32C78" w:rsidTr="00704EC8">
        <w:tc>
          <w:tcPr>
            <w:tcW w:w="1060" w:type="dxa"/>
          </w:tcPr>
          <w:p w:rsidR="00704EC8" w:rsidRDefault="00F52459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704EC8" w:rsidRDefault="00704EC8" w:rsidP="00704EC8">
            <w:r w:rsidRPr="00C54B63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704EC8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Alfaro García</w:t>
            </w:r>
          </w:p>
        </w:tc>
        <w:tc>
          <w:tcPr>
            <w:tcW w:w="1399" w:type="dxa"/>
          </w:tcPr>
          <w:p w:rsidR="00704EC8" w:rsidRPr="00704EC8" w:rsidRDefault="00704EC8" w:rsidP="00704EC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704EC8" w:rsidRPr="00704EC8" w:rsidRDefault="00704EC8" w:rsidP="00704EC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704EC8" w:rsidRPr="00BE0EA2" w:rsidRDefault="00704EC8" w:rsidP="00704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</w:p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Doy cuenta a Ustedes que se</w:t>
      </w:r>
      <w:r w:rsidR="00704EC8">
        <w:rPr>
          <w:rFonts w:ascii="Arial" w:hAnsi="Arial" w:cs="Arial"/>
          <w:sz w:val="24"/>
          <w:szCs w:val="24"/>
        </w:rPr>
        <w:t xml:space="preserve"> encuentran presentes 6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:rsidR="00704EC8" w:rsidRDefault="00704EC8" w:rsidP="00C7191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22A6">
        <w:rPr>
          <w:rFonts w:ascii="Arial" w:hAnsi="Arial" w:cs="Arial"/>
          <w:color w:val="000000" w:themeColor="text1"/>
          <w:sz w:val="24"/>
          <w:szCs w:val="24"/>
        </w:rPr>
        <w:t xml:space="preserve">Se recibió oficio suscrito por el Regidor Jorge Antonio Chávez </w:t>
      </w:r>
      <w:proofErr w:type="spellStart"/>
      <w:r w:rsidRPr="00FA22A6">
        <w:rPr>
          <w:rFonts w:ascii="Arial" w:hAnsi="Arial" w:cs="Arial"/>
          <w:color w:val="000000" w:themeColor="text1"/>
          <w:sz w:val="24"/>
          <w:szCs w:val="24"/>
        </w:rPr>
        <w:t>Amb</w:t>
      </w:r>
      <w:r w:rsidR="00FA22A6" w:rsidRPr="00FA22A6">
        <w:rPr>
          <w:rFonts w:ascii="Arial" w:hAnsi="Arial" w:cs="Arial"/>
          <w:color w:val="000000" w:themeColor="text1"/>
          <w:sz w:val="24"/>
          <w:szCs w:val="24"/>
        </w:rPr>
        <w:t>riz</w:t>
      </w:r>
      <w:proofErr w:type="spellEnd"/>
      <w:r w:rsidR="00FA22A6" w:rsidRPr="00FA22A6">
        <w:rPr>
          <w:rFonts w:ascii="Arial" w:hAnsi="Arial" w:cs="Arial"/>
          <w:color w:val="000000" w:themeColor="text1"/>
          <w:sz w:val="24"/>
          <w:szCs w:val="24"/>
        </w:rPr>
        <w:t xml:space="preserve">, mediante el cual informa </w:t>
      </w:r>
      <w:r w:rsidR="00FA22A6">
        <w:rPr>
          <w:rFonts w:ascii="Arial" w:hAnsi="Arial" w:cs="Arial"/>
          <w:color w:val="000000" w:themeColor="text1"/>
          <w:sz w:val="24"/>
          <w:szCs w:val="24"/>
        </w:rPr>
        <w:t>que por motivos de salud no podrá</w:t>
      </w:r>
      <w:r w:rsidR="00FA22A6" w:rsidRPr="00FA22A6">
        <w:rPr>
          <w:rFonts w:ascii="Arial" w:hAnsi="Arial" w:cs="Arial"/>
          <w:color w:val="000000" w:themeColor="text1"/>
          <w:sz w:val="24"/>
          <w:szCs w:val="24"/>
        </w:rPr>
        <w:t xml:space="preserve"> asistir a la Sesión de Comisión del día de hoy, lo anterior por recom</w:t>
      </w:r>
      <w:r w:rsidR="00FA22A6">
        <w:rPr>
          <w:rFonts w:ascii="Arial" w:hAnsi="Arial" w:cs="Arial"/>
          <w:color w:val="000000" w:themeColor="text1"/>
          <w:sz w:val="24"/>
          <w:szCs w:val="24"/>
        </w:rPr>
        <w:t>endación médica, ya que presenta</w:t>
      </w:r>
      <w:r w:rsidR="00FA22A6" w:rsidRPr="00FA22A6">
        <w:rPr>
          <w:rFonts w:ascii="Arial" w:hAnsi="Arial" w:cs="Arial"/>
          <w:color w:val="000000" w:themeColor="text1"/>
          <w:sz w:val="24"/>
          <w:szCs w:val="24"/>
        </w:rPr>
        <w:t xml:space="preserve"> una infección</w:t>
      </w:r>
      <w:r w:rsidR="00FA22A6">
        <w:rPr>
          <w:rFonts w:ascii="Arial" w:hAnsi="Arial" w:cs="Arial"/>
          <w:color w:val="000000" w:themeColor="text1"/>
          <w:sz w:val="24"/>
          <w:szCs w:val="24"/>
        </w:rPr>
        <w:t xml:space="preserve"> en vías respiratorias. Por lo que en votación económica les pregunto si se aprueba justificar la inasistencia del Regidor </w:t>
      </w:r>
      <w:r w:rsidR="00FA22A6" w:rsidRPr="00FA22A6">
        <w:rPr>
          <w:rFonts w:ascii="Arial" w:hAnsi="Arial" w:cs="Arial"/>
          <w:color w:val="000000" w:themeColor="text1"/>
          <w:sz w:val="24"/>
          <w:szCs w:val="24"/>
        </w:rPr>
        <w:t xml:space="preserve">Jorge Antonio Chávez </w:t>
      </w:r>
      <w:proofErr w:type="spellStart"/>
      <w:r w:rsidR="00FA22A6" w:rsidRPr="00FA22A6">
        <w:rPr>
          <w:rFonts w:ascii="Arial" w:hAnsi="Arial" w:cs="Arial"/>
          <w:color w:val="000000" w:themeColor="text1"/>
          <w:sz w:val="24"/>
          <w:szCs w:val="24"/>
        </w:rPr>
        <w:t>Ambriz</w:t>
      </w:r>
      <w:proofErr w:type="spellEnd"/>
      <w:r w:rsidR="00FA22A6">
        <w:rPr>
          <w:rFonts w:ascii="Arial" w:hAnsi="Arial" w:cs="Arial"/>
          <w:color w:val="000000" w:themeColor="text1"/>
          <w:sz w:val="24"/>
          <w:szCs w:val="24"/>
        </w:rPr>
        <w:t xml:space="preserve"> por cuestiones de salud. </w:t>
      </w:r>
    </w:p>
    <w:p w:rsidR="00FA22A6" w:rsidRPr="00FA22A6" w:rsidRDefault="00FA22A6" w:rsidP="00C7191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Aprobado por unanimidad.</w:t>
      </w:r>
    </w:p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</w:t>
      </w:r>
      <w:r w:rsidRPr="00E87BA6">
        <w:rPr>
          <w:rFonts w:ascii="Arial" w:hAnsi="Arial" w:cs="Arial"/>
          <w:sz w:val="24"/>
          <w:szCs w:val="24"/>
        </w:rPr>
        <w:t xml:space="preserve">existe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>se</w:t>
      </w:r>
      <w:r w:rsidRPr="00E87BA6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>pone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del Día:</w:t>
      </w:r>
    </w:p>
    <w:p w:rsidR="00C7191E" w:rsidRPr="00102E69" w:rsidRDefault="00C7191E" w:rsidP="00C719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E69">
        <w:rPr>
          <w:rFonts w:ascii="Arial" w:hAnsi="Arial" w:cs="Arial"/>
          <w:sz w:val="24"/>
          <w:szCs w:val="24"/>
        </w:rPr>
        <w:t>Lista de asistencia y verificación de</w:t>
      </w:r>
      <w:r>
        <w:rPr>
          <w:rFonts w:ascii="Arial" w:hAnsi="Arial" w:cs="Arial"/>
          <w:sz w:val="24"/>
          <w:szCs w:val="24"/>
        </w:rPr>
        <w:t>l</w:t>
      </w:r>
      <w:r w:rsidRPr="00102E69">
        <w:rPr>
          <w:rFonts w:ascii="Arial" w:hAnsi="Arial" w:cs="Arial"/>
          <w:sz w:val="24"/>
          <w:szCs w:val="24"/>
        </w:rPr>
        <w:t xml:space="preserve"> Quórum legal para sesionar</w:t>
      </w:r>
      <w:r>
        <w:rPr>
          <w:rFonts w:ascii="Arial" w:hAnsi="Arial" w:cs="Arial"/>
          <w:sz w:val="24"/>
          <w:szCs w:val="24"/>
        </w:rPr>
        <w:t>.</w:t>
      </w:r>
    </w:p>
    <w:p w:rsidR="00C7191E" w:rsidRDefault="00C7191E" w:rsidP="00C719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E69">
        <w:rPr>
          <w:rFonts w:ascii="Arial" w:hAnsi="Arial" w:cs="Arial"/>
          <w:sz w:val="24"/>
          <w:szCs w:val="24"/>
        </w:rPr>
        <w:t>Lectura y aprobación de</w:t>
      </w:r>
      <w:r>
        <w:rPr>
          <w:rFonts w:ascii="Arial" w:hAnsi="Arial" w:cs="Arial"/>
          <w:sz w:val="24"/>
          <w:szCs w:val="24"/>
        </w:rPr>
        <w:t>l</w:t>
      </w:r>
      <w:r w:rsidRPr="00102E69">
        <w:rPr>
          <w:rFonts w:ascii="Arial" w:hAnsi="Arial" w:cs="Arial"/>
          <w:sz w:val="24"/>
          <w:szCs w:val="24"/>
        </w:rPr>
        <w:t xml:space="preserve"> orden del día</w:t>
      </w:r>
      <w:r>
        <w:rPr>
          <w:rFonts w:ascii="Arial" w:hAnsi="Arial" w:cs="Arial"/>
          <w:sz w:val="24"/>
          <w:szCs w:val="24"/>
        </w:rPr>
        <w:t>.</w:t>
      </w:r>
    </w:p>
    <w:p w:rsidR="00C7191E" w:rsidRDefault="00C7191E" w:rsidP="00C719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Estudio, análisis y en su caso aprobación del dictamen derivado del Acuerdo 1037/2019</w:t>
      </w:r>
      <w:r w:rsidRPr="004D0525">
        <w:rPr>
          <w:rFonts w:ascii="Arial" w:hAnsi="Arial" w:cs="Arial"/>
          <w:sz w:val="24"/>
          <w:szCs w:val="24"/>
        </w:rPr>
        <w:t xml:space="preserve">/TC; que tiene por </w:t>
      </w:r>
      <w:r>
        <w:rPr>
          <w:rFonts w:ascii="Arial" w:hAnsi="Arial" w:cs="Arial"/>
          <w:sz w:val="24"/>
          <w:szCs w:val="24"/>
        </w:rPr>
        <w:t>objeto</w:t>
      </w:r>
      <w:r w:rsidRPr="00DB5507">
        <w:rPr>
          <w:rFonts w:ascii="Arial" w:hAnsi="Arial" w:cs="Arial"/>
          <w:b/>
          <w:sz w:val="24"/>
          <w:szCs w:val="24"/>
        </w:rPr>
        <w:t xml:space="preserve"> reforma</w:t>
      </w:r>
      <w:r>
        <w:rPr>
          <w:rFonts w:ascii="Arial" w:hAnsi="Arial" w:cs="Arial"/>
          <w:b/>
          <w:sz w:val="24"/>
          <w:szCs w:val="24"/>
        </w:rPr>
        <w:t xml:space="preserve">r </w:t>
      </w:r>
      <w:r w:rsidRPr="00DB5507">
        <w:rPr>
          <w:rFonts w:ascii="Arial" w:hAnsi="Arial" w:cs="Arial"/>
          <w:b/>
          <w:sz w:val="24"/>
          <w:szCs w:val="24"/>
        </w:rPr>
        <w:t xml:space="preserve">el artículo 206 fracción V y la creación del artículo 244 bis del </w:t>
      </w:r>
      <w:r w:rsidRPr="00DB5507">
        <w:rPr>
          <w:rFonts w:ascii="Arial" w:hAnsi="Arial" w:cs="Arial"/>
          <w:b/>
          <w:color w:val="000000" w:themeColor="text1"/>
          <w:sz w:val="24"/>
          <w:szCs w:val="24"/>
        </w:rPr>
        <w:t>Reglamento del Gobierno y de la Administración Pública del Ayuntamiento Constitucional de San Pedro Tlaquepaque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7191E" w:rsidRPr="00424E3A" w:rsidRDefault="00C7191E" w:rsidP="00C719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4E3A">
        <w:rPr>
          <w:rFonts w:ascii="Arial" w:hAnsi="Arial" w:cs="Arial"/>
          <w:sz w:val="24"/>
          <w:szCs w:val="24"/>
        </w:rPr>
        <w:t>Asuntos generales</w:t>
      </w:r>
      <w:r>
        <w:rPr>
          <w:rFonts w:ascii="Arial" w:hAnsi="Arial" w:cs="Arial"/>
          <w:sz w:val="24"/>
          <w:szCs w:val="24"/>
        </w:rPr>
        <w:t>.</w:t>
      </w:r>
    </w:p>
    <w:p w:rsidR="00C7191E" w:rsidRPr="007A7490" w:rsidRDefault="00C7191E" w:rsidP="00C719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E69">
        <w:rPr>
          <w:rFonts w:ascii="Arial" w:hAnsi="Arial" w:cs="Arial"/>
          <w:sz w:val="24"/>
          <w:szCs w:val="24"/>
        </w:rPr>
        <w:t>Clausura de la sesión</w:t>
      </w:r>
      <w:r>
        <w:rPr>
          <w:rFonts w:ascii="Arial" w:hAnsi="Arial" w:cs="Arial"/>
          <w:sz w:val="24"/>
          <w:szCs w:val="24"/>
        </w:rPr>
        <w:t>.</w:t>
      </w:r>
    </w:p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d</w:t>
      </w:r>
      <w:r w:rsidRPr="00E87BA6">
        <w:rPr>
          <w:rFonts w:ascii="Arial" w:hAnsi="Arial" w:cs="Arial"/>
          <w:sz w:val="24"/>
          <w:szCs w:val="24"/>
        </w:rPr>
        <w:t>e no existir inconveniente alguno en votación económica</w:t>
      </w:r>
      <w:r>
        <w:rPr>
          <w:rFonts w:ascii="Arial" w:hAnsi="Arial" w:cs="Arial"/>
          <w:sz w:val="24"/>
          <w:szCs w:val="24"/>
        </w:rPr>
        <w:t xml:space="preserve"> les pregunto si se aprueba</w:t>
      </w:r>
      <w:r w:rsidR="0086789F">
        <w:rPr>
          <w:rFonts w:ascii="Arial" w:hAnsi="Arial" w:cs="Arial"/>
          <w:sz w:val="24"/>
          <w:szCs w:val="24"/>
        </w:rPr>
        <w:t xml:space="preserve"> el orden del día</w:t>
      </w:r>
      <w:r w:rsidRPr="00E87B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7253" w:rsidRDefault="00787253" w:rsidP="00C7191E">
      <w:pPr>
        <w:jc w:val="both"/>
        <w:rPr>
          <w:rFonts w:ascii="Arial" w:hAnsi="Arial" w:cs="Arial"/>
          <w:sz w:val="24"/>
          <w:szCs w:val="24"/>
        </w:rPr>
      </w:pPr>
    </w:p>
    <w:p w:rsidR="00787253" w:rsidRDefault="00787253" w:rsidP="00C7191E">
      <w:pPr>
        <w:jc w:val="both"/>
        <w:rPr>
          <w:rFonts w:ascii="Arial" w:hAnsi="Arial" w:cs="Arial"/>
          <w:sz w:val="24"/>
          <w:szCs w:val="24"/>
        </w:rPr>
      </w:pPr>
    </w:p>
    <w:p w:rsidR="00C7191E" w:rsidRDefault="0086789F" w:rsidP="00C71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por unanimidad</w:t>
      </w:r>
      <w:r w:rsidR="00C7191E" w:rsidRPr="00E87BA6">
        <w:rPr>
          <w:rFonts w:ascii="Arial" w:hAnsi="Arial" w:cs="Arial"/>
          <w:sz w:val="24"/>
          <w:szCs w:val="24"/>
        </w:rPr>
        <w:t>.</w:t>
      </w:r>
    </w:p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  <w:r w:rsidRPr="00472028"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 w:rsidRPr="00472028">
        <w:rPr>
          <w:rFonts w:ascii="Arial" w:hAnsi="Arial" w:cs="Arial"/>
          <w:b/>
          <w:sz w:val="24"/>
          <w:szCs w:val="24"/>
        </w:rPr>
        <w:t xml:space="preserve">PUNTOS PRIMERO Y SEGUNDO </w:t>
      </w:r>
      <w:r>
        <w:rPr>
          <w:rFonts w:ascii="Arial" w:hAnsi="Arial" w:cs="Arial"/>
          <w:sz w:val="24"/>
          <w:szCs w:val="24"/>
        </w:rPr>
        <w:t>del</w:t>
      </w:r>
      <w:r w:rsidRPr="00472028">
        <w:rPr>
          <w:rFonts w:ascii="Arial" w:hAnsi="Arial" w:cs="Arial"/>
          <w:sz w:val="24"/>
          <w:szCs w:val="24"/>
        </w:rPr>
        <w:t xml:space="preserve"> Orden del día; pasaremos al desahogo del </w:t>
      </w:r>
      <w:r w:rsidRPr="00472028">
        <w:rPr>
          <w:rFonts w:ascii="Arial" w:hAnsi="Arial" w:cs="Arial"/>
          <w:b/>
          <w:sz w:val="24"/>
          <w:szCs w:val="24"/>
        </w:rPr>
        <w:t>TERCER PUNTO,</w:t>
      </w:r>
      <w:r w:rsidRPr="00472028">
        <w:rPr>
          <w:rFonts w:ascii="Arial" w:hAnsi="Arial" w:cs="Arial"/>
          <w:sz w:val="24"/>
          <w:szCs w:val="24"/>
        </w:rPr>
        <w:t xml:space="preserve"> a efecto de llevar a cabo el estudio, análisis y en su caso la aprobación del dictamen derivado del Acuerdo 1037/2019/TC; que tiene por objeto </w:t>
      </w:r>
      <w:r w:rsidRPr="00472028">
        <w:rPr>
          <w:rFonts w:ascii="Arial" w:hAnsi="Arial" w:cs="Arial"/>
          <w:b/>
          <w:sz w:val="24"/>
          <w:szCs w:val="24"/>
        </w:rPr>
        <w:t xml:space="preserve">reformar el artículo 206 fracción V y la creación del artículo 244 bis del </w:t>
      </w:r>
      <w:r w:rsidRPr="00472028">
        <w:rPr>
          <w:rFonts w:ascii="Arial" w:hAnsi="Arial" w:cs="Arial"/>
          <w:b/>
          <w:color w:val="000000" w:themeColor="text1"/>
          <w:sz w:val="24"/>
          <w:szCs w:val="24"/>
        </w:rPr>
        <w:t>Reglamento del Gobierno y de la Administración Pública del Ayuntamiento Constitucional de San Pedro Tlaquepaque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049F">
        <w:rPr>
          <w:rFonts w:ascii="Arial" w:hAnsi="Arial" w:cs="Arial"/>
          <w:sz w:val="24"/>
          <w:szCs w:val="24"/>
        </w:rPr>
        <w:t>mismo que fue entregado con anterioridad</w:t>
      </w:r>
      <w:r>
        <w:rPr>
          <w:rFonts w:ascii="Arial" w:hAnsi="Arial" w:cs="Arial"/>
          <w:b/>
          <w:sz w:val="24"/>
          <w:szCs w:val="24"/>
        </w:rPr>
        <w:t xml:space="preserve"> en medio electrónico, </w:t>
      </w:r>
      <w:r w:rsidRPr="00C40B21">
        <w:rPr>
          <w:rFonts w:ascii="Arial" w:hAnsi="Arial" w:cs="Arial"/>
          <w:sz w:val="24"/>
          <w:szCs w:val="24"/>
        </w:rPr>
        <w:t>habiendo confirmado con</w:t>
      </w:r>
      <w:r>
        <w:rPr>
          <w:rFonts w:ascii="Arial" w:hAnsi="Arial" w:cs="Arial"/>
          <w:sz w:val="24"/>
          <w:szCs w:val="24"/>
        </w:rPr>
        <w:t xml:space="preserve"> cada uno de los integrantes. </w:t>
      </w:r>
    </w:p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S</w:t>
      </w:r>
      <w:r w:rsidRPr="0076679E">
        <w:rPr>
          <w:rFonts w:ascii="Arial" w:eastAsia="Verdana" w:hAnsi="Arial" w:cs="Arial"/>
          <w:color w:val="000000"/>
          <w:sz w:val="24"/>
          <w:szCs w:val="24"/>
        </w:rPr>
        <w:t xml:space="preserve">e propone en razón de llevar un </w:t>
      </w:r>
      <w:r>
        <w:rPr>
          <w:rFonts w:ascii="Arial" w:hAnsi="Arial" w:cs="Arial"/>
          <w:sz w:val="24"/>
          <w:szCs w:val="24"/>
        </w:rPr>
        <w:t>orden lógico jurídico,</w:t>
      </w:r>
      <w:r w:rsidRPr="0076679E">
        <w:rPr>
          <w:rFonts w:ascii="Arial" w:hAnsi="Arial" w:cs="Arial"/>
          <w:sz w:val="24"/>
          <w:szCs w:val="24"/>
        </w:rPr>
        <w:t xml:space="preserve"> el número consecutivo</w:t>
      </w:r>
      <w:r>
        <w:rPr>
          <w:rFonts w:ascii="Arial" w:hAnsi="Arial" w:cs="Arial"/>
          <w:sz w:val="24"/>
          <w:szCs w:val="24"/>
        </w:rPr>
        <w:t xml:space="preserve"> </w:t>
      </w:r>
      <w:r w:rsidRPr="0076679E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la creación del artículo sea el </w:t>
      </w:r>
      <w:r w:rsidRPr="00A92457">
        <w:rPr>
          <w:rFonts w:ascii="Arial" w:hAnsi="Arial" w:cs="Arial"/>
          <w:sz w:val="24"/>
          <w:szCs w:val="24"/>
        </w:rPr>
        <w:t>244 Bis</w:t>
      </w:r>
      <w:r>
        <w:rPr>
          <w:rFonts w:ascii="Arial" w:hAnsi="Arial" w:cs="Arial"/>
          <w:sz w:val="24"/>
          <w:szCs w:val="24"/>
        </w:rPr>
        <w:t>, mismo que contemple las atribuciones de la Dirección de Programas de Origen Estatal y Federal</w:t>
      </w:r>
      <w:r w:rsidRPr="00A92457">
        <w:rPr>
          <w:rFonts w:ascii="Arial" w:hAnsi="Arial" w:cs="Arial"/>
          <w:sz w:val="24"/>
          <w:szCs w:val="24"/>
        </w:rPr>
        <w:t>, y no el 245 bis como se planteó en el turno marcado con el número 1037/2019</w:t>
      </w:r>
      <w:r>
        <w:rPr>
          <w:rFonts w:ascii="Arial" w:hAnsi="Arial" w:cs="Arial"/>
          <w:sz w:val="24"/>
          <w:szCs w:val="24"/>
        </w:rPr>
        <w:t>.</w:t>
      </w:r>
      <w:r w:rsidR="0086789F" w:rsidRPr="0086789F">
        <w:rPr>
          <w:rFonts w:ascii="Arial" w:hAnsi="Arial" w:cs="Arial"/>
          <w:sz w:val="24"/>
          <w:szCs w:val="24"/>
        </w:rPr>
        <w:t xml:space="preserve"> </w:t>
      </w:r>
      <w:r w:rsidR="0086789F">
        <w:rPr>
          <w:rFonts w:ascii="Arial" w:hAnsi="Arial" w:cs="Arial"/>
          <w:sz w:val="24"/>
          <w:szCs w:val="24"/>
        </w:rPr>
        <w:t>En virtud de lo antes expuesto.</w:t>
      </w:r>
    </w:p>
    <w:p w:rsidR="00C7191E" w:rsidRPr="00A418DC" w:rsidRDefault="00C7191E" w:rsidP="00C71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abre el registro de oradores sobre el análisis de la propuesta.</w:t>
      </w:r>
      <w:r w:rsidR="0086789F">
        <w:rPr>
          <w:rFonts w:ascii="Arial" w:hAnsi="Arial" w:cs="Arial"/>
          <w:sz w:val="24"/>
          <w:szCs w:val="24"/>
        </w:rPr>
        <w:t xml:space="preserve"> No habiendo oradores en este tema. </w:t>
      </w:r>
      <w:r>
        <w:rPr>
          <w:rFonts w:ascii="Arial" w:hAnsi="Arial" w:cs="Arial"/>
          <w:sz w:val="24"/>
          <w:szCs w:val="24"/>
        </w:rPr>
        <w:t xml:space="preserve">Procedemos a la votación del </w:t>
      </w:r>
      <w:r>
        <w:rPr>
          <w:rFonts w:ascii="Arial" w:hAnsi="Arial" w:cs="Arial"/>
          <w:b/>
          <w:sz w:val="24"/>
          <w:szCs w:val="24"/>
        </w:rPr>
        <w:t>dictamen del acuerdo 1037/2019</w:t>
      </w:r>
      <w:r w:rsidRPr="000F7D3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que en votación económica les pregunto quienes estén por la afirmativa, favor de manifestarlo. </w:t>
      </w:r>
    </w:p>
    <w:p w:rsidR="00C7191E" w:rsidRDefault="00C7191E" w:rsidP="00C71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</w:t>
      </w:r>
      <w:r w:rsidR="0086789F">
        <w:rPr>
          <w:rFonts w:ascii="Arial" w:hAnsi="Arial" w:cs="Arial"/>
          <w:sz w:val="24"/>
          <w:szCs w:val="24"/>
        </w:rPr>
        <w:t xml:space="preserve"> por unanimidad</w:t>
      </w:r>
      <w:r w:rsidRPr="00E87BA6">
        <w:rPr>
          <w:rFonts w:ascii="Arial" w:hAnsi="Arial" w:cs="Arial"/>
          <w:sz w:val="24"/>
          <w:szCs w:val="24"/>
        </w:rPr>
        <w:t>.</w:t>
      </w:r>
    </w:p>
    <w:p w:rsidR="00C7191E" w:rsidRPr="009E0384" w:rsidRDefault="00C7191E" w:rsidP="00C7191E">
      <w:pPr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Queda aprobado el Dictamen</w:t>
      </w:r>
      <w:r w:rsidRPr="00922D67">
        <w:rPr>
          <w:rFonts w:ascii="Arial" w:hAnsi="Arial" w:cs="Arial"/>
          <w:b/>
          <w:sz w:val="24"/>
          <w:szCs w:val="24"/>
        </w:rPr>
        <w:t xml:space="preserve"> que tiene por objeto</w:t>
      </w:r>
      <w:r w:rsidRPr="00472028">
        <w:rPr>
          <w:rFonts w:ascii="Arial" w:hAnsi="Arial" w:cs="Arial"/>
          <w:b/>
          <w:sz w:val="24"/>
          <w:szCs w:val="24"/>
        </w:rPr>
        <w:t xml:space="preserve"> reformar el artículo 206 fracción V y la creación del artículo 244 bis del </w:t>
      </w:r>
      <w:r w:rsidRPr="00472028">
        <w:rPr>
          <w:rFonts w:ascii="Arial" w:hAnsi="Arial" w:cs="Arial"/>
          <w:b/>
          <w:color w:val="000000" w:themeColor="text1"/>
          <w:sz w:val="24"/>
          <w:szCs w:val="24"/>
        </w:rPr>
        <w:t>Reglamento del Gobierno y de la Administración Pública del Ayuntamiento Constitucional de San Pedro Tlaquepaque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9E0384">
        <w:rPr>
          <w:rFonts w:ascii="Arial" w:eastAsia="Arial" w:hAnsi="Arial" w:cs="Arial"/>
          <w:sz w:val="24"/>
          <w:szCs w:val="24"/>
        </w:rPr>
        <w:t xml:space="preserve"> </w:t>
      </w:r>
    </w:p>
    <w:p w:rsidR="00C7191E" w:rsidRPr="00E87BA6" w:rsidRDefault="00C7191E" w:rsidP="00C7191E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>
        <w:rPr>
          <w:rFonts w:ascii="Arial" w:hAnsi="Arial" w:cs="Arial"/>
          <w:b/>
          <w:sz w:val="24"/>
          <w:szCs w:val="24"/>
        </w:rPr>
        <w:t>QUINTO</w:t>
      </w:r>
      <w:r w:rsidRPr="00E87BA6">
        <w:rPr>
          <w:rFonts w:ascii="Arial" w:hAnsi="Arial" w:cs="Arial"/>
          <w:b/>
          <w:sz w:val="24"/>
          <w:szCs w:val="24"/>
        </w:rPr>
        <w:t xml:space="preserve"> </w:t>
      </w:r>
      <w:r w:rsidRPr="002279A2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 orden del día,</w:t>
      </w:r>
      <w:r>
        <w:rPr>
          <w:rFonts w:ascii="Arial" w:hAnsi="Arial" w:cs="Arial"/>
          <w:sz w:val="24"/>
          <w:szCs w:val="24"/>
        </w:rPr>
        <w:t xml:space="preserve"> </w:t>
      </w:r>
      <w:r w:rsidRPr="000F7D3E">
        <w:rPr>
          <w:rFonts w:ascii="Arial" w:hAnsi="Arial" w:cs="Arial"/>
          <w:b/>
          <w:sz w:val="24"/>
          <w:szCs w:val="24"/>
        </w:rPr>
        <w:t>Asuntos Generales,</w:t>
      </w:r>
      <w:r>
        <w:rPr>
          <w:rFonts w:ascii="Arial" w:hAnsi="Arial" w:cs="Arial"/>
          <w:sz w:val="24"/>
          <w:szCs w:val="24"/>
        </w:rPr>
        <w:t xml:space="preserve"> les</w:t>
      </w:r>
      <w:r w:rsidRPr="00E87BA6">
        <w:rPr>
          <w:rFonts w:ascii="Arial" w:hAnsi="Arial" w:cs="Arial"/>
          <w:sz w:val="24"/>
          <w:szCs w:val="24"/>
        </w:rPr>
        <w:t xml:space="preserve"> pregunto a los asistentes, si tienen algo que manifestar.</w:t>
      </w:r>
    </w:p>
    <w:p w:rsidR="00C7191E" w:rsidRPr="007341AA" w:rsidRDefault="00C7191E" w:rsidP="00C7191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>SEXTO</w:t>
      </w:r>
      <w:r w:rsidRPr="00E31544">
        <w:rPr>
          <w:rFonts w:ascii="Arial" w:hAnsi="Arial" w:cs="Arial"/>
          <w:b/>
          <w:sz w:val="24"/>
          <w:szCs w:val="24"/>
        </w:rPr>
        <w:t xml:space="preserve"> PUNTO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orden del día 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</w:t>
      </w:r>
      <w:r w:rsidRPr="00E87BA6">
        <w:rPr>
          <w:rFonts w:ascii="Arial" w:hAnsi="Arial" w:cs="Arial"/>
          <w:sz w:val="24"/>
          <w:szCs w:val="24"/>
        </w:rPr>
        <w:t xml:space="preserve"> clausurada</w:t>
      </w:r>
      <w:r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esión siendo las</w:t>
      </w:r>
      <w:r w:rsidR="0086789F">
        <w:rPr>
          <w:rFonts w:ascii="Arial" w:hAnsi="Arial" w:cs="Arial"/>
          <w:sz w:val="24"/>
          <w:szCs w:val="24"/>
        </w:rPr>
        <w:t xml:space="preserve"> 11:11 (once horas con once minutos)</w:t>
      </w:r>
      <w:r>
        <w:rPr>
          <w:rFonts w:ascii="Arial" w:hAnsi="Arial" w:cs="Arial"/>
          <w:sz w:val="24"/>
          <w:szCs w:val="24"/>
        </w:rPr>
        <w:t xml:space="preserve"> del día </w:t>
      </w:r>
      <w:r>
        <w:rPr>
          <w:rFonts w:ascii="Arial" w:hAnsi="Arial" w:cs="Arial"/>
          <w:color w:val="000000" w:themeColor="text1"/>
          <w:sz w:val="24"/>
          <w:szCs w:val="24"/>
        </w:rPr>
        <w:t>22 de ma</w:t>
      </w:r>
      <w:r w:rsidRPr="007341AA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7341AA">
        <w:rPr>
          <w:rFonts w:ascii="Arial" w:hAnsi="Arial" w:cs="Arial"/>
          <w:color w:val="000000" w:themeColor="text1"/>
          <w:sz w:val="24"/>
          <w:szCs w:val="24"/>
        </w:rPr>
        <w:t xml:space="preserve">o del 2019. </w:t>
      </w:r>
    </w:p>
    <w:p w:rsidR="00C7191E" w:rsidRPr="00E36B8B" w:rsidRDefault="00C7191E" w:rsidP="00C71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por su asistencia.</w:t>
      </w:r>
    </w:p>
    <w:p w:rsidR="00B12A78" w:rsidRDefault="00B12A78" w:rsidP="00B12A78">
      <w:pPr>
        <w:spacing w:after="3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6B44">
        <w:rPr>
          <w:rFonts w:ascii="Arial" w:hAnsi="Arial" w:cs="Arial"/>
          <w:b/>
          <w:sz w:val="24"/>
          <w:szCs w:val="24"/>
        </w:rPr>
        <w:t>A T E N T A M E N T E</w:t>
      </w:r>
    </w:p>
    <w:p w:rsidR="00B12A78" w:rsidRDefault="00B12A78" w:rsidP="00B12A78">
      <w:pPr>
        <w:spacing w:after="3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 Pedro Tlaquepaque, Jalisco,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 22 de ma</w:t>
      </w:r>
      <w:r w:rsidRPr="0086642C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 w:rsidRPr="0086642C">
        <w:rPr>
          <w:rFonts w:ascii="Arial" w:hAnsi="Arial" w:cs="Arial"/>
          <w:b/>
          <w:color w:val="000000" w:themeColor="text1"/>
          <w:sz w:val="24"/>
          <w:szCs w:val="24"/>
        </w:rPr>
        <w:t>o de 2019</w:t>
      </w:r>
      <w:r w:rsidRPr="0086642C">
        <w:rPr>
          <w:rFonts w:ascii="Arial" w:hAnsi="Arial" w:cs="Arial"/>
          <w:b/>
          <w:sz w:val="24"/>
          <w:szCs w:val="24"/>
        </w:rPr>
        <w:t>.</w:t>
      </w:r>
    </w:p>
    <w:p w:rsidR="00B12A78" w:rsidRPr="00ED5592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INTEGRANTES DE LA COMISIÓ</w:t>
      </w:r>
      <w:r w:rsidRPr="00ED5592">
        <w:rPr>
          <w:rFonts w:ascii="Arial" w:hAnsi="Arial" w:cs="Arial"/>
          <w:b/>
          <w:sz w:val="24"/>
          <w:szCs w:val="24"/>
          <w:u w:val="single"/>
        </w:rPr>
        <w:t>N EDILICIA DE REGLAMENTOS MUNICIPALES Y PUNTOS LEGISLATIVOS:</w:t>
      </w:r>
    </w:p>
    <w:p w:rsidR="00F52459" w:rsidRDefault="00F52459" w:rsidP="00B12A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Pr="00F66B44" w:rsidRDefault="00F52459" w:rsidP="00B12A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Pr="00F66B44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6B44">
        <w:rPr>
          <w:rFonts w:ascii="Arial" w:hAnsi="Arial" w:cs="Arial"/>
          <w:b/>
          <w:sz w:val="24"/>
          <w:szCs w:val="24"/>
        </w:rPr>
        <w:t>JOSÉ LUIS SALAZAR MARTÍNEZ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DE REGLAMENTOS MUNICIPALES Y PUNTOS LEGISLATIVOS 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rPr>
          <w:rFonts w:cstheme="minorHAnsi"/>
          <w:szCs w:val="24"/>
        </w:rPr>
      </w:pPr>
    </w:p>
    <w:p w:rsidR="00B12A78" w:rsidRPr="005B7867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</w:t>
      </w:r>
      <w:r w:rsidRPr="005B7867">
        <w:rPr>
          <w:rFonts w:ascii="Arial" w:hAnsi="Arial" w:cs="Arial"/>
          <w:b/>
          <w:sz w:val="24"/>
          <w:szCs w:val="24"/>
        </w:rPr>
        <w:t>GUEZ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>VOCAL DE LA COMISIÓN EDILICIA DE REGLAMENTOS MUNICIPALES Y PUNTOS LEGISLATIVOS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253" w:rsidRDefault="00787253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>VOCAL DE LA COMISIÓN EDILICIA DE REGLAMENTOS MUNICIPALES Y PUNTOS LEGISLATIVOS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HOGLA BUSTOS SERRANO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>VOCAL DE LA COMISIÓN EDILICIA DE REGLAMENTOS MUNICIPALES Y PUNTOS LEGISLATIVOS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MIROSLAVA MAYA ÁVILA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>VOCAL DE LA COMISIÓN EDILICIA DE REGLAMENTOS MUNICIPALES Y PUNTOS LEGISLATIVOS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>VOCAL DE LA COMISIÓN EDILICIA DE REGLAMENTOS MUNICIPALES Y PUNTOS LEGISLATIVOS</w:t>
      </w: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2A78" w:rsidRDefault="00B12A78" w:rsidP="00B12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ALINA ELIZABETH HERNÁNDEZ CASTAÑEDA</w:t>
      </w:r>
    </w:p>
    <w:p w:rsidR="00C7191E" w:rsidRDefault="00B12A78" w:rsidP="00B12A78">
      <w:pPr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>VOCAL DE LA COMISIÓN EDILICIA DE REGLAMENTOS MUNICIPALES Y PUNTOS LEGISLATIVOS</w:t>
      </w:r>
    </w:p>
    <w:p w:rsidR="00706713" w:rsidRDefault="00706713" w:rsidP="00B12A78">
      <w:pPr>
        <w:jc w:val="center"/>
        <w:rPr>
          <w:rFonts w:ascii="Arial" w:hAnsi="Arial" w:cs="Arial"/>
          <w:b/>
          <w:sz w:val="24"/>
          <w:szCs w:val="24"/>
        </w:rPr>
      </w:pPr>
    </w:p>
    <w:p w:rsidR="00706713" w:rsidRDefault="00706713" w:rsidP="00B12A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INTEGRANTES DE LA COMISIÓ</w:t>
      </w:r>
      <w:r w:rsidRPr="00ED5592">
        <w:rPr>
          <w:rFonts w:ascii="Arial" w:hAnsi="Arial" w:cs="Arial"/>
          <w:b/>
          <w:sz w:val="24"/>
          <w:szCs w:val="24"/>
          <w:u w:val="single"/>
        </w:rPr>
        <w:t>N EDILICIA DE</w:t>
      </w:r>
      <w:r>
        <w:rPr>
          <w:rFonts w:ascii="Arial" w:hAnsi="Arial" w:cs="Arial"/>
          <w:b/>
          <w:sz w:val="24"/>
          <w:szCs w:val="24"/>
          <w:u w:val="single"/>
        </w:rPr>
        <w:t xml:space="preserve"> DESARROLLO SOCIAL Y HUMANO:</w:t>
      </w:r>
    </w:p>
    <w:p w:rsidR="00706713" w:rsidRDefault="00706713" w:rsidP="00B12A78">
      <w:pPr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B12A78">
      <w:pPr>
        <w:jc w:val="center"/>
        <w:rPr>
          <w:rFonts w:ascii="Arial" w:hAnsi="Arial" w:cs="Arial"/>
          <w:b/>
          <w:sz w:val="24"/>
          <w:szCs w:val="24"/>
        </w:rPr>
      </w:pPr>
    </w:p>
    <w:p w:rsidR="00706713" w:rsidRDefault="00706713" w:rsidP="00706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713">
        <w:rPr>
          <w:rFonts w:ascii="Arial" w:hAnsi="Arial" w:cs="Arial"/>
          <w:b/>
          <w:sz w:val="24"/>
          <w:szCs w:val="24"/>
        </w:rPr>
        <w:t>IRMA YOLANDA REYNOSO MERCADO</w:t>
      </w:r>
    </w:p>
    <w:p w:rsidR="00706713" w:rsidRDefault="00706713" w:rsidP="00706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7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PRESIDENTE DE LA COMISIÓN EDILICIA DE</w:t>
      </w:r>
      <w:r w:rsidR="0018626F">
        <w:rPr>
          <w:rFonts w:ascii="Arial" w:hAnsi="Arial" w:cs="Arial"/>
          <w:b/>
          <w:sz w:val="24"/>
          <w:szCs w:val="24"/>
        </w:rPr>
        <w:t xml:space="preserve"> </w:t>
      </w:r>
      <w:r w:rsidRPr="00706713">
        <w:rPr>
          <w:rFonts w:ascii="Arial" w:hAnsi="Arial" w:cs="Arial"/>
          <w:b/>
          <w:sz w:val="24"/>
          <w:szCs w:val="24"/>
        </w:rPr>
        <w:t>DESARROLLO SOCIAL Y HUMANO</w:t>
      </w:r>
    </w:p>
    <w:p w:rsidR="00F52459" w:rsidRDefault="00F52459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459" w:rsidRDefault="00F52459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713" w:rsidRDefault="00706713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713">
        <w:rPr>
          <w:rFonts w:ascii="Arial" w:hAnsi="Arial" w:cs="Arial"/>
          <w:b/>
          <w:sz w:val="24"/>
          <w:szCs w:val="24"/>
        </w:rPr>
        <w:t>HOGLA BUSTOS SERRANO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EDILICIA DE </w:t>
      </w:r>
      <w:r w:rsidRPr="00706713">
        <w:rPr>
          <w:rFonts w:ascii="Arial" w:hAnsi="Arial" w:cs="Arial"/>
          <w:b/>
          <w:sz w:val="24"/>
          <w:szCs w:val="24"/>
        </w:rPr>
        <w:t>DESARROLLO SOCIAL Y HUMANO</w:t>
      </w:r>
    </w:p>
    <w:p w:rsidR="0018626F" w:rsidRPr="00706713" w:rsidRDefault="0018626F" w:rsidP="00706713">
      <w:pPr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706713">
      <w:pPr>
        <w:jc w:val="center"/>
        <w:rPr>
          <w:rFonts w:ascii="Arial" w:hAnsi="Arial" w:cs="Arial"/>
          <w:b/>
          <w:sz w:val="24"/>
          <w:szCs w:val="24"/>
        </w:rPr>
      </w:pPr>
    </w:p>
    <w:p w:rsidR="00706713" w:rsidRDefault="00706713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713">
        <w:rPr>
          <w:rFonts w:ascii="Arial" w:hAnsi="Arial" w:cs="Arial"/>
          <w:b/>
          <w:sz w:val="24"/>
          <w:szCs w:val="24"/>
        </w:rPr>
        <w:t>BETSABE DOLORES ALMAGUER ESPARZA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EDILICIA DE </w:t>
      </w:r>
      <w:r w:rsidRPr="00706713">
        <w:rPr>
          <w:rFonts w:ascii="Arial" w:hAnsi="Arial" w:cs="Arial"/>
          <w:b/>
          <w:sz w:val="24"/>
          <w:szCs w:val="24"/>
        </w:rPr>
        <w:t>DESARROLLO SOCIAL Y HUMANO</w:t>
      </w:r>
    </w:p>
    <w:p w:rsidR="0018626F" w:rsidRDefault="0018626F" w:rsidP="00706713">
      <w:pPr>
        <w:jc w:val="center"/>
        <w:rPr>
          <w:rFonts w:ascii="Arial" w:hAnsi="Arial" w:cs="Arial"/>
          <w:b/>
          <w:sz w:val="24"/>
          <w:szCs w:val="24"/>
        </w:rPr>
      </w:pPr>
    </w:p>
    <w:p w:rsidR="0018626F" w:rsidRPr="00706713" w:rsidRDefault="0018626F" w:rsidP="0018626F">
      <w:pPr>
        <w:spacing w:after="0" w:line="240" w:lineRule="auto"/>
        <w:jc w:val="center"/>
        <w:rPr>
          <w:b/>
          <w:sz w:val="24"/>
          <w:szCs w:val="24"/>
        </w:rPr>
      </w:pPr>
    </w:p>
    <w:p w:rsidR="00706713" w:rsidRDefault="00706713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713">
        <w:rPr>
          <w:rFonts w:ascii="Arial" w:hAnsi="Arial" w:cs="Arial"/>
          <w:b/>
          <w:sz w:val="24"/>
          <w:szCs w:val="24"/>
        </w:rPr>
        <w:t>JORGE ANTONIO CHÁVEZ AMBRIZ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EDILICIA DE </w:t>
      </w:r>
      <w:r w:rsidRPr="00706713">
        <w:rPr>
          <w:rFonts w:ascii="Arial" w:hAnsi="Arial" w:cs="Arial"/>
          <w:b/>
          <w:sz w:val="24"/>
          <w:szCs w:val="24"/>
        </w:rPr>
        <w:t>DESARROLLO SOCIAL Y HUMANO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58DC" w:rsidRDefault="00A958DC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58DC" w:rsidRDefault="00A958DC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58DC" w:rsidRDefault="00A958DC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Pr="00706713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713" w:rsidRDefault="00706713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713">
        <w:rPr>
          <w:rFonts w:ascii="Arial" w:hAnsi="Arial" w:cs="Arial"/>
          <w:b/>
          <w:sz w:val="24"/>
          <w:szCs w:val="24"/>
        </w:rPr>
        <w:t>MIROSLAVA MAYA ÁVILA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EDILICIA DE </w:t>
      </w:r>
      <w:r w:rsidRPr="00706713">
        <w:rPr>
          <w:rFonts w:ascii="Arial" w:hAnsi="Arial" w:cs="Arial"/>
          <w:b/>
          <w:sz w:val="24"/>
          <w:szCs w:val="24"/>
        </w:rPr>
        <w:t>DESARROLLO SOCIAL Y HUMANO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Pr="00706713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713" w:rsidRDefault="00706713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713">
        <w:rPr>
          <w:rFonts w:ascii="Arial" w:hAnsi="Arial" w:cs="Arial"/>
          <w:b/>
          <w:sz w:val="24"/>
          <w:szCs w:val="24"/>
        </w:rPr>
        <w:t>SILBIA CÁZAREZ REYES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EDILICIA DE </w:t>
      </w:r>
      <w:r w:rsidRPr="00706713">
        <w:rPr>
          <w:rFonts w:ascii="Arial" w:hAnsi="Arial" w:cs="Arial"/>
          <w:b/>
          <w:sz w:val="24"/>
          <w:szCs w:val="24"/>
        </w:rPr>
        <w:t>DESARROLLO SOCIAL Y HUMANO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Pr="00706713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713" w:rsidRDefault="00706713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713">
        <w:rPr>
          <w:rFonts w:ascii="Arial" w:hAnsi="Arial" w:cs="Arial"/>
          <w:b/>
          <w:sz w:val="24"/>
          <w:szCs w:val="24"/>
        </w:rPr>
        <w:t>OSCAR VÁZQUEZ LLAMAS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EDILICIA DE </w:t>
      </w:r>
      <w:r w:rsidRPr="00706713">
        <w:rPr>
          <w:rFonts w:ascii="Arial" w:hAnsi="Arial" w:cs="Arial"/>
          <w:b/>
          <w:sz w:val="24"/>
          <w:szCs w:val="24"/>
        </w:rPr>
        <w:t>DESARROLLO SOCIAL Y HUMANO</w:t>
      </w: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26F" w:rsidRPr="00706713" w:rsidRDefault="0018626F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713" w:rsidRDefault="00706713" w:rsidP="001862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713">
        <w:rPr>
          <w:rFonts w:ascii="Arial" w:hAnsi="Arial" w:cs="Arial"/>
          <w:b/>
          <w:sz w:val="24"/>
          <w:szCs w:val="24"/>
        </w:rPr>
        <w:t>ALBERTO ALFARO GARCÍA</w:t>
      </w:r>
    </w:p>
    <w:p w:rsidR="0018626F" w:rsidRPr="00706713" w:rsidRDefault="0018626F" w:rsidP="00F524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EDILICIA DE </w:t>
      </w:r>
      <w:r w:rsidRPr="00706713">
        <w:rPr>
          <w:rFonts w:ascii="Arial" w:hAnsi="Arial" w:cs="Arial"/>
          <w:b/>
          <w:sz w:val="24"/>
          <w:szCs w:val="24"/>
        </w:rPr>
        <w:t>DESARROLLO SOCIAL Y HUMANO</w:t>
      </w:r>
    </w:p>
    <w:sectPr w:rsidR="0018626F" w:rsidRPr="00706713" w:rsidSect="00787253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2E" w:rsidRDefault="0001002E" w:rsidP="00C7191E">
      <w:pPr>
        <w:spacing w:after="0" w:line="240" w:lineRule="auto"/>
      </w:pPr>
      <w:r>
        <w:separator/>
      </w:r>
    </w:p>
  </w:endnote>
  <w:endnote w:type="continuationSeparator" w:id="0">
    <w:p w:rsidR="0001002E" w:rsidRDefault="0001002E" w:rsidP="00C7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426449"/>
      <w:docPartObj>
        <w:docPartGallery w:val="Page Numbers (Bottom of Page)"/>
        <w:docPartUnique/>
      </w:docPartObj>
    </w:sdtPr>
    <w:sdtEndPr/>
    <w:sdtContent>
      <w:p w:rsidR="00B27F0B" w:rsidRDefault="00B27F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12" w:rsidRPr="00AC1612">
          <w:rPr>
            <w:noProof/>
            <w:lang w:val="es-ES"/>
          </w:rPr>
          <w:t>5</w:t>
        </w:r>
        <w:r>
          <w:fldChar w:fldCharType="end"/>
        </w:r>
      </w:p>
    </w:sdtContent>
  </w:sdt>
  <w:p w:rsidR="00B27F0B" w:rsidRDefault="00B27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2E" w:rsidRDefault="0001002E" w:rsidP="00C7191E">
      <w:pPr>
        <w:spacing w:after="0" w:line="240" w:lineRule="auto"/>
      </w:pPr>
      <w:r>
        <w:separator/>
      </w:r>
    </w:p>
  </w:footnote>
  <w:footnote w:type="continuationSeparator" w:id="0">
    <w:p w:rsidR="0001002E" w:rsidRDefault="0001002E" w:rsidP="00C7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1E" w:rsidRDefault="00C7191E">
    <w:pPr>
      <w:pStyle w:val="Encabezado"/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5AE93C3C" wp14:editId="40B8B9E4">
          <wp:simplePos x="0" y="0"/>
          <wp:positionH relativeFrom="margin">
            <wp:posOffset>5419725</wp:posOffset>
          </wp:positionH>
          <wp:positionV relativeFrom="paragraph">
            <wp:posOffset>161290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9D73F69" wp14:editId="31A88772">
          <wp:simplePos x="0" y="0"/>
          <wp:positionH relativeFrom="margin">
            <wp:posOffset>-685800</wp:posOffset>
          </wp:positionH>
          <wp:positionV relativeFrom="paragraph">
            <wp:posOffset>247015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818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03FD7"/>
    <w:multiLevelType w:val="hybridMultilevel"/>
    <w:tmpl w:val="D44AD8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E"/>
    <w:rsid w:val="0001002E"/>
    <w:rsid w:val="0018626F"/>
    <w:rsid w:val="002056D7"/>
    <w:rsid w:val="004A7F96"/>
    <w:rsid w:val="006E3499"/>
    <w:rsid w:val="00704EC8"/>
    <w:rsid w:val="00706713"/>
    <w:rsid w:val="00762AA6"/>
    <w:rsid w:val="00787253"/>
    <w:rsid w:val="0086789F"/>
    <w:rsid w:val="00990EA6"/>
    <w:rsid w:val="00A958DC"/>
    <w:rsid w:val="00AC1612"/>
    <w:rsid w:val="00B12A78"/>
    <w:rsid w:val="00B27F0B"/>
    <w:rsid w:val="00C7191E"/>
    <w:rsid w:val="00E96B08"/>
    <w:rsid w:val="00F52459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8511F-71F7-4A09-9650-AE9AB5AB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91E"/>
  </w:style>
  <w:style w:type="paragraph" w:styleId="Piedepgina">
    <w:name w:val="footer"/>
    <w:basedOn w:val="Normal"/>
    <w:link w:val="PiedepginaCar"/>
    <w:uiPriority w:val="99"/>
    <w:unhideWhenUsed/>
    <w:rsid w:val="00C71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91E"/>
  </w:style>
  <w:style w:type="table" w:styleId="Tablaconcuadrcula">
    <w:name w:val="Table Grid"/>
    <w:basedOn w:val="Tablanormal"/>
    <w:uiPriority w:val="39"/>
    <w:rsid w:val="00C7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19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MejoraReg</dc:creator>
  <cp:keywords/>
  <dc:description/>
  <cp:lastModifiedBy>MejoraReg</cp:lastModifiedBy>
  <cp:revision>5</cp:revision>
  <cp:lastPrinted>2019-03-25T19:44:00Z</cp:lastPrinted>
  <dcterms:created xsi:type="dcterms:W3CDTF">2019-03-25T17:24:00Z</dcterms:created>
  <dcterms:modified xsi:type="dcterms:W3CDTF">2019-03-25T20:18:00Z</dcterms:modified>
</cp:coreProperties>
</file>