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17" w:rsidRDefault="001B644E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DE LA </w:t>
      </w:r>
      <w:r w:rsidR="00487C16">
        <w:rPr>
          <w:rFonts w:ascii="Arial" w:hAnsi="Arial" w:cs="Arial"/>
          <w:b/>
          <w:sz w:val="24"/>
          <w:szCs w:val="24"/>
        </w:rPr>
        <w:t>10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:rsidR="001B644E" w:rsidRDefault="001B644E" w:rsidP="001B644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03 de Diciembre del 2019</w:t>
      </w:r>
    </w:p>
    <w:p w:rsidR="001A75F2" w:rsidRDefault="001B644E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Buenas tardes, </w:t>
      </w:r>
      <w:r w:rsidR="00BD30FD">
        <w:rPr>
          <w:rFonts w:ascii="Arial" w:hAnsi="Arial" w:cs="Arial"/>
          <w:color w:val="000000" w:themeColor="text1"/>
          <w:sz w:val="24"/>
          <w:szCs w:val="24"/>
        </w:rPr>
        <w:t xml:space="preserve">vamos a dar inicio,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BD30FD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BD30FD">
        <w:rPr>
          <w:rFonts w:ascii="Arial" w:hAnsi="Arial" w:cs="Arial"/>
          <w:sz w:val="24"/>
          <w:szCs w:val="24"/>
        </w:rPr>
        <w:t>¿si esta la Secretaria? a</w:t>
      </w:r>
      <w:r w:rsidR="00937D15">
        <w:rPr>
          <w:rFonts w:ascii="Arial" w:hAnsi="Arial" w:cs="Arial"/>
          <w:sz w:val="24"/>
          <w:szCs w:val="24"/>
        </w:rPr>
        <w:t xml:space="preserve"> la Unidad de Transparencia,</w:t>
      </w:r>
      <w:r w:rsidR="004C128F"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así como al público en general que nos acompaña, siendo las </w:t>
      </w:r>
      <w:r w:rsidR="00BD30FD">
        <w:rPr>
          <w:rFonts w:ascii="Arial" w:hAnsi="Arial" w:cs="Arial"/>
          <w:sz w:val="24"/>
          <w:szCs w:val="24"/>
        </w:rPr>
        <w:t xml:space="preserve">12:08 (doce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 w:rsidR="00BD30FD">
        <w:rPr>
          <w:rFonts w:ascii="Arial" w:hAnsi="Arial" w:cs="Arial"/>
          <w:sz w:val="24"/>
          <w:szCs w:val="24"/>
        </w:rPr>
        <w:t xml:space="preserve"> con ocho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B10C95">
        <w:rPr>
          <w:rFonts w:ascii="Arial" w:hAnsi="Arial" w:cs="Arial"/>
          <w:sz w:val="24"/>
          <w:szCs w:val="24"/>
        </w:rPr>
        <w:t>0</w:t>
      </w:r>
      <w:r w:rsidR="001A75F2">
        <w:rPr>
          <w:rFonts w:ascii="Arial" w:hAnsi="Arial" w:cs="Arial"/>
          <w:sz w:val="24"/>
          <w:szCs w:val="24"/>
        </w:rPr>
        <w:t>3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A75F2">
        <w:rPr>
          <w:rFonts w:ascii="Arial" w:hAnsi="Arial" w:cs="Arial"/>
          <w:color w:val="000000" w:themeColor="text1"/>
          <w:sz w:val="24"/>
          <w:szCs w:val="24"/>
        </w:rPr>
        <w:t>Dici</w:t>
      </w:r>
      <w:r w:rsidR="00B10C95">
        <w:rPr>
          <w:rFonts w:ascii="Arial" w:hAnsi="Arial" w:cs="Arial"/>
          <w:color w:val="000000" w:themeColor="text1"/>
          <w:sz w:val="24"/>
          <w:szCs w:val="24"/>
        </w:rPr>
        <w:t xml:space="preserve">embre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2019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>os en la Sala del Pleno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1A75F2">
        <w:rPr>
          <w:rFonts w:ascii="Arial" w:hAnsi="Arial" w:cs="Arial"/>
          <w:b/>
          <w:sz w:val="24"/>
          <w:szCs w:val="24"/>
        </w:rPr>
        <w:t>10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como convocante y la Comisión Edilicia de Gobernación como coadyuvante</w:t>
      </w:r>
      <w:r w:rsidR="00937D15">
        <w:rPr>
          <w:rFonts w:ascii="Arial" w:hAnsi="Arial" w:cs="Arial"/>
          <w:sz w:val="24"/>
          <w:szCs w:val="24"/>
        </w:rPr>
        <w:t xml:space="preserve">, para </w:t>
      </w:r>
      <w:r w:rsidR="001A75F2">
        <w:rPr>
          <w:rFonts w:ascii="Arial" w:hAnsi="Arial" w:cs="Arial"/>
          <w:sz w:val="24"/>
          <w:szCs w:val="24"/>
        </w:rPr>
        <w:t>desahogar el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1A75F2">
        <w:rPr>
          <w:rFonts w:ascii="Arial" w:hAnsi="Arial" w:cs="Arial"/>
          <w:b/>
          <w:bCs/>
          <w:sz w:val="24"/>
          <w:szCs w:val="24"/>
        </w:rPr>
        <w:t>1206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/201</w:t>
      </w:r>
      <w:r w:rsidR="001A75F2">
        <w:rPr>
          <w:rFonts w:ascii="Arial" w:hAnsi="Arial" w:cs="Arial"/>
          <w:b/>
          <w:bCs/>
          <w:sz w:val="24"/>
          <w:szCs w:val="24"/>
        </w:rPr>
        <w:t>9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1A75F2">
        <w:rPr>
          <w:rFonts w:ascii="Arial" w:hAnsi="Arial" w:cs="Arial"/>
          <w:sz w:val="24"/>
          <w:szCs w:val="24"/>
        </w:rPr>
        <w:t>24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1A75F2">
        <w:rPr>
          <w:rFonts w:ascii="Arial" w:hAnsi="Arial" w:cs="Arial"/>
          <w:sz w:val="24"/>
          <w:szCs w:val="24"/>
        </w:rPr>
        <w:t>Sept</w:t>
      </w:r>
      <w:r w:rsidR="00AD3807">
        <w:rPr>
          <w:rFonts w:ascii="Arial" w:hAnsi="Arial" w:cs="Arial"/>
          <w:sz w:val="24"/>
          <w:szCs w:val="24"/>
        </w:rPr>
        <w:t>iembre del 201</w:t>
      </w:r>
      <w:r w:rsidR="001A75F2">
        <w:rPr>
          <w:rFonts w:ascii="Arial" w:hAnsi="Arial" w:cs="Arial"/>
          <w:sz w:val="24"/>
          <w:szCs w:val="24"/>
        </w:rPr>
        <w:t>9</w:t>
      </w:r>
      <w:r w:rsidR="001B5C51">
        <w:rPr>
          <w:rFonts w:ascii="Arial" w:hAnsi="Arial" w:cs="Arial"/>
          <w:sz w:val="24"/>
          <w:szCs w:val="24"/>
        </w:rPr>
        <w:t>.</w:t>
      </w:r>
    </w:p>
    <w:p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 xml:space="preserve">sistencia </w:t>
      </w:r>
      <w:r w:rsidR="001B5C51">
        <w:rPr>
          <w:rFonts w:ascii="Arial" w:hAnsi="Arial" w:cs="Arial"/>
          <w:sz w:val="24"/>
          <w:szCs w:val="24"/>
        </w:rPr>
        <w:t xml:space="preserve">de la Comisión Edilicia de </w:t>
      </w:r>
      <w:r w:rsidR="00BD5046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1686"/>
        <w:gridCol w:w="1724"/>
        <w:gridCol w:w="1399"/>
        <w:gridCol w:w="1303"/>
        <w:gridCol w:w="1656"/>
      </w:tblGrid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:rsidR="00937D15" w:rsidRPr="00B15767" w:rsidRDefault="00937D15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:rsidR="00937D15" w:rsidRPr="00B15767" w:rsidRDefault="00937D15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399" w:type="dxa"/>
          </w:tcPr>
          <w:p w:rsidR="00937D15" w:rsidRPr="00B15767" w:rsidRDefault="00937D15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:rsidR="00937D15" w:rsidRPr="00B15767" w:rsidRDefault="00937D15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:rsidTr="00924A1E">
        <w:tc>
          <w:tcPr>
            <w:tcW w:w="1062" w:type="dxa"/>
          </w:tcPr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:rsidR="005241E6" w:rsidRPr="00B15767" w:rsidRDefault="005241E6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:rsidTr="00924A1E">
        <w:tc>
          <w:tcPr>
            <w:tcW w:w="1062" w:type="dxa"/>
          </w:tcPr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:rsidR="005241E6" w:rsidRPr="00B15767" w:rsidRDefault="005241E6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B15767">
        <w:rPr>
          <w:rFonts w:ascii="Arial" w:hAnsi="Arial" w:cs="Arial"/>
          <w:sz w:val="24"/>
          <w:szCs w:val="24"/>
        </w:rPr>
        <w:t>6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7FBF" w:rsidRDefault="00047FBF" w:rsidP="00047FBF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 xml:space="preserve">Asistencia de la Comisión Edilicia de Gobernación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1686"/>
        <w:gridCol w:w="1724"/>
        <w:gridCol w:w="1399"/>
        <w:gridCol w:w="1303"/>
        <w:gridCol w:w="1656"/>
      </w:tblGrid>
      <w:tr w:rsidR="00047FBF" w:rsidRPr="00F32C78" w:rsidTr="00815B08">
        <w:tc>
          <w:tcPr>
            <w:tcW w:w="1062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047FBF" w:rsidRPr="00F32C78" w:rsidTr="00815B08">
        <w:tc>
          <w:tcPr>
            <w:tcW w:w="1062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:rsidR="00047FBF" w:rsidRPr="00B15767" w:rsidRDefault="00047FBF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BF" w:rsidRPr="00F32C78" w:rsidTr="00815B08">
        <w:tc>
          <w:tcPr>
            <w:tcW w:w="1062" w:type="dxa"/>
          </w:tcPr>
          <w:p w:rsidR="00047FBF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:rsidR="00047FBF" w:rsidRPr="00B15767" w:rsidRDefault="00047FBF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BF" w:rsidRPr="00F32C78" w:rsidTr="00815B08">
        <w:tc>
          <w:tcPr>
            <w:tcW w:w="1062" w:type="dxa"/>
          </w:tcPr>
          <w:p w:rsidR="00047FBF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Antonio Chávez Ambriz</w:t>
            </w:r>
          </w:p>
        </w:tc>
        <w:tc>
          <w:tcPr>
            <w:tcW w:w="1399" w:type="dxa"/>
          </w:tcPr>
          <w:p w:rsidR="00047FBF" w:rsidRPr="00B15767" w:rsidRDefault="00047FBF" w:rsidP="00B157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047FBF" w:rsidRPr="00BE0EA2" w:rsidRDefault="00047FBF" w:rsidP="00815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FBF" w:rsidRDefault="00047FBF" w:rsidP="00937D15">
      <w:pPr>
        <w:jc w:val="both"/>
        <w:rPr>
          <w:rFonts w:ascii="Arial" w:hAnsi="Arial" w:cs="Arial"/>
          <w:sz w:val="24"/>
          <w:szCs w:val="24"/>
        </w:rPr>
      </w:pPr>
    </w:p>
    <w:p w:rsidR="00047FBF" w:rsidRPr="00E87BA6" w:rsidRDefault="00047FBF" w:rsidP="00047FBF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B15767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="00B15767">
        <w:rPr>
          <w:rFonts w:ascii="Arial" w:hAnsi="Arial" w:cs="Arial"/>
          <w:sz w:val="24"/>
          <w:szCs w:val="24"/>
        </w:rPr>
        <w:t>Regidores</w:t>
      </w:r>
      <w:r w:rsidRPr="00E87BA6">
        <w:rPr>
          <w:rFonts w:ascii="Arial" w:hAnsi="Arial" w:cs="Arial"/>
          <w:sz w:val="24"/>
          <w:szCs w:val="24"/>
        </w:rPr>
        <w:t>.</w:t>
      </w:r>
    </w:p>
    <w:p w:rsidR="00047FBF" w:rsidRDefault="00047FBF" w:rsidP="00047F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="00F4465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siguiente Orden Día: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:rsidR="00047FBF" w:rsidRPr="00047FBF" w:rsidRDefault="00937D15" w:rsidP="00047F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047FBF" w:rsidRPr="00047FBF">
        <w:rPr>
          <w:rFonts w:ascii="Arial" w:hAnsi="Arial" w:cs="Arial"/>
        </w:rPr>
        <w:t xml:space="preserve"> </w:t>
      </w:r>
      <w:r w:rsidR="00047FBF" w:rsidRPr="00047FBF">
        <w:rPr>
          <w:rFonts w:ascii="Arial" w:hAnsi="Arial" w:cs="Arial"/>
          <w:sz w:val="24"/>
          <w:szCs w:val="24"/>
        </w:rPr>
        <w:t>Estudio, análisis y en su caso dictaminacion del Acuerdo 1206/2019/TC que tiene por objeto reformar el artículo 76 del Reglamento de</w:t>
      </w:r>
      <w:r w:rsidR="00F44653">
        <w:rPr>
          <w:rFonts w:ascii="Arial" w:hAnsi="Arial" w:cs="Arial"/>
          <w:sz w:val="24"/>
          <w:szCs w:val="24"/>
        </w:rPr>
        <w:t>l</w:t>
      </w:r>
      <w:r w:rsidR="00047FBF" w:rsidRPr="00047FBF">
        <w:rPr>
          <w:rFonts w:ascii="Arial" w:hAnsi="Arial" w:cs="Arial"/>
          <w:sz w:val="24"/>
          <w:szCs w:val="24"/>
        </w:rPr>
        <w:t xml:space="preserve"> Gobernación y Administración Pública del Ayuntamiento  de San Pedro Tlaquepaque, Jalisco para armonizarse con lo establecido en el artículo 27 de la Ley de</w:t>
      </w:r>
      <w:r w:rsidR="00603F11">
        <w:rPr>
          <w:rFonts w:ascii="Arial" w:hAnsi="Arial" w:cs="Arial"/>
          <w:sz w:val="24"/>
          <w:szCs w:val="24"/>
        </w:rPr>
        <w:t>l</w:t>
      </w:r>
      <w:r w:rsidR="00047FBF" w:rsidRPr="00047FBF">
        <w:rPr>
          <w:rFonts w:ascii="Arial" w:hAnsi="Arial" w:cs="Arial"/>
          <w:sz w:val="24"/>
          <w:szCs w:val="24"/>
        </w:rPr>
        <w:t xml:space="preserve"> Gobierno y la Administración Pública Municipal del Estado de Jalisco. 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E87BA6">
        <w:rPr>
          <w:rFonts w:ascii="Arial" w:hAnsi="Arial" w:cs="Arial"/>
          <w:sz w:val="24"/>
          <w:szCs w:val="24"/>
        </w:rPr>
        <w:t>Clausura de la Sesión.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votación económica les pregunto si se apr</w:t>
      </w:r>
      <w:r w:rsidR="00B26720">
        <w:rPr>
          <w:rFonts w:ascii="Arial" w:hAnsi="Arial" w:cs="Arial"/>
          <w:sz w:val="24"/>
          <w:szCs w:val="24"/>
        </w:rPr>
        <w:t>ueba el orden del día propuesto. Aprobado.</w:t>
      </w:r>
    </w:p>
    <w:p w:rsidR="001B2823" w:rsidRDefault="00937D15" w:rsidP="001B28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e</w:t>
      </w:r>
      <w:r w:rsidR="00047FBF" w:rsidRPr="00047FBF">
        <w:rPr>
          <w:rFonts w:ascii="Arial" w:hAnsi="Arial" w:cs="Arial"/>
          <w:sz w:val="24"/>
          <w:szCs w:val="24"/>
        </w:rPr>
        <w:t xml:space="preserve">studio, análisis y en su caso dictaminacion del Acuerdo 1206/2019/TC que </w:t>
      </w:r>
      <w:r w:rsidR="00CD7DA7">
        <w:rPr>
          <w:rFonts w:ascii="Arial" w:hAnsi="Arial" w:cs="Arial"/>
          <w:sz w:val="24"/>
          <w:szCs w:val="24"/>
        </w:rPr>
        <w:t>versa sobre</w:t>
      </w:r>
      <w:r w:rsidR="00047FBF" w:rsidRPr="00047FBF">
        <w:rPr>
          <w:rFonts w:ascii="Arial" w:hAnsi="Arial" w:cs="Arial"/>
          <w:sz w:val="24"/>
          <w:szCs w:val="24"/>
        </w:rPr>
        <w:t xml:space="preserve"> reformar el artículo 76 del Reglamento de Gobernación y Administración Pública del Ayuntamiento  de San Pedro Tlaquepaque, Jalisco para armonizarse con lo establecido en el artículo 27 de la Ley de Gobierno y la Administración Pública Municipal del Estado de Jalisco</w:t>
      </w:r>
      <w:r w:rsidR="00843796">
        <w:rPr>
          <w:rFonts w:ascii="Arial" w:hAnsi="Arial" w:cs="Arial"/>
          <w:sz w:val="24"/>
          <w:szCs w:val="24"/>
        </w:rPr>
        <w:t>.</w:t>
      </w:r>
      <w:r w:rsidR="001B2823">
        <w:rPr>
          <w:rFonts w:ascii="Arial" w:hAnsi="Arial" w:cs="Arial"/>
          <w:sz w:val="24"/>
          <w:szCs w:val="24"/>
        </w:rPr>
        <w:t xml:space="preserve"> </w:t>
      </w:r>
    </w:p>
    <w:p w:rsidR="00334488" w:rsidRPr="00996D9B" w:rsidRDefault="00D3074A" w:rsidP="003344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277B7" w:rsidRPr="00996D9B">
        <w:rPr>
          <w:rFonts w:ascii="Arial" w:hAnsi="Arial" w:cs="Arial"/>
          <w:b/>
          <w:sz w:val="24"/>
          <w:szCs w:val="24"/>
        </w:rPr>
        <w:t>e abre el registro de oradores en este tema:</w:t>
      </w:r>
    </w:p>
    <w:p w:rsidR="00074BF3" w:rsidRPr="00074BF3" w:rsidRDefault="00074BF3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Adelante Regidora</w:t>
      </w:r>
    </w:p>
    <w:p w:rsidR="00074BF3" w:rsidRDefault="00074BF3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Miroslava Maya:</w:t>
      </w:r>
      <w:r>
        <w:rPr>
          <w:rFonts w:ascii="Arial" w:hAnsi="Arial" w:cs="Arial"/>
          <w:sz w:val="24"/>
          <w:szCs w:val="24"/>
        </w:rPr>
        <w:t xml:space="preserve"> Buenos días Regidoras y Regidores, compañeros, asesores y compañeras, lo único que, nada mas hacerles por ahí una observación, dice Reglamento de Gobierno y Administración Público del Ayuntamiento de San Pedro Tlaquepaque y lo correcto es del Reglamento del Gobierno y la Administración Pública </w:t>
      </w:r>
      <w:r w:rsidR="00A633E6">
        <w:rPr>
          <w:rFonts w:ascii="Arial" w:hAnsi="Arial" w:cs="Arial"/>
          <w:sz w:val="24"/>
          <w:szCs w:val="24"/>
        </w:rPr>
        <w:t>del Ayuntamiento Constitucional de San Pedro Tlaquepaque, en algunas partes si los ponen y en otras se lo quitan.</w:t>
      </w:r>
    </w:p>
    <w:p w:rsidR="00A633E6" w:rsidRPr="00A633E6" w:rsidRDefault="00A633E6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Síndico: </w:t>
      </w:r>
      <w:r>
        <w:rPr>
          <w:rFonts w:ascii="Arial" w:hAnsi="Arial" w:cs="Arial"/>
          <w:sz w:val="24"/>
          <w:szCs w:val="24"/>
        </w:rPr>
        <w:t>Muy bien, gracias. ¿Alguien más?</w:t>
      </w:r>
    </w:p>
    <w:p w:rsidR="00996D9B" w:rsidRDefault="00996D9B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</w:t>
      </w:r>
      <w:r w:rsidR="00A633E6">
        <w:rPr>
          <w:rFonts w:ascii="Arial" w:hAnsi="Arial" w:cs="Arial"/>
          <w:sz w:val="24"/>
          <w:szCs w:val="24"/>
        </w:rPr>
        <w:t xml:space="preserve"> con las correcciones que hizo la Regidora Miroslava, favor de</w:t>
      </w:r>
      <w:r>
        <w:rPr>
          <w:rFonts w:ascii="Arial" w:hAnsi="Arial" w:cs="Arial"/>
          <w:sz w:val="24"/>
          <w:szCs w:val="24"/>
        </w:rPr>
        <w:t xml:space="preserve"> levant</w:t>
      </w:r>
      <w:r w:rsidR="00A633E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="00A633E6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mano.</w:t>
      </w:r>
      <w:r w:rsidR="00A633E6">
        <w:rPr>
          <w:rFonts w:ascii="Arial" w:hAnsi="Arial" w:cs="Arial"/>
          <w:sz w:val="24"/>
          <w:szCs w:val="24"/>
        </w:rPr>
        <w:t xml:space="preserve"> Aprobado.</w:t>
      </w:r>
    </w:p>
    <w:p w:rsidR="00996D9B" w:rsidRPr="00A633E6" w:rsidRDefault="00996D9B" w:rsidP="00937D15">
      <w:pPr>
        <w:jc w:val="both"/>
        <w:rPr>
          <w:rFonts w:ascii="Arial" w:hAnsi="Arial" w:cs="Arial"/>
          <w:sz w:val="24"/>
          <w:szCs w:val="24"/>
        </w:rPr>
      </w:pPr>
      <w:r w:rsidRPr="00A633E6">
        <w:rPr>
          <w:rFonts w:ascii="Arial" w:hAnsi="Arial" w:cs="Arial"/>
          <w:b/>
          <w:sz w:val="24"/>
          <w:szCs w:val="24"/>
        </w:rPr>
        <w:t xml:space="preserve">Se aprueba por la Comisión Edilicia de Reglamentos Municipales y Puntos Legislativos como convocante y la Comisión Edilicia de Gobernación como coadyuvante el Dictamen del turno a Comisión número 1206/2019/TC </w:t>
      </w:r>
      <w:r w:rsidR="00C27B07">
        <w:rPr>
          <w:rFonts w:ascii="Arial" w:hAnsi="Arial" w:cs="Arial"/>
          <w:b/>
          <w:sz w:val="24"/>
          <w:szCs w:val="24"/>
        </w:rPr>
        <w:t>mediante el cual</w:t>
      </w:r>
      <w:r w:rsidR="008E7EE7" w:rsidRPr="00A633E6">
        <w:rPr>
          <w:rFonts w:ascii="Arial" w:hAnsi="Arial" w:cs="Arial"/>
          <w:b/>
          <w:sz w:val="24"/>
          <w:szCs w:val="24"/>
        </w:rPr>
        <w:t xml:space="preserve"> se aprueba reformar el artículo 76 primer párrafo del </w:t>
      </w:r>
      <w:r w:rsidR="008E7EE7" w:rsidRPr="00A633E6">
        <w:rPr>
          <w:rFonts w:ascii="Arial" w:hAnsi="Arial" w:cs="Arial"/>
          <w:b/>
          <w:sz w:val="24"/>
          <w:szCs w:val="24"/>
        </w:rPr>
        <w:lastRenderedPageBreak/>
        <w:t xml:space="preserve">Reglamento del Gobierno y de la Administración Pública del Ayuntamiento </w:t>
      </w:r>
      <w:r w:rsidR="00C27B07">
        <w:rPr>
          <w:rFonts w:ascii="Arial" w:hAnsi="Arial" w:cs="Arial"/>
          <w:b/>
          <w:sz w:val="24"/>
          <w:szCs w:val="24"/>
        </w:rPr>
        <w:t xml:space="preserve">Constitucional </w:t>
      </w:r>
      <w:r w:rsidR="008E7EE7" w:rsidRPr="00A633E6">
        <w:rPr>
          <w:rFonts w:ascii="Arial" w:hAnsi="Arial" w:cs="Arial"/>
          <w:b/>
          <w:sz w:val="24"/>
          <w:szCs w:val="24"/>
        </w:rPr>
        <w:t>de San Pedro Tlaquepaque, Jalisco.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:rsidR="00AB7773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117B06">
        <w:rPr>
          <w:rFonts w:ascii="Arial" w:hAnsi="Arial" w:cs="Arial"/>
          <w:b/>
          <w:sz w:val="24"/>
          <w:szCs w:val="24"/>
        </w:rPr>
        <w:t>quinto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906C51">
        <w:rPr>
          <w:rFonts w:ascii="Arial" w:hAnsi="Arial" w:cs="Arial"/>
          <w:sz w:val="24"/>
          <w:szCs w:val="24"/>
        </w:rPr>
        <w:t xml:space="preserve">12:13 (doce </w:t>
      </w:r>
      <w:r w:rsidRPr="00E87BA6">
        <w:rPr>
          <w:rFonts w:ascii="Arial" w:hAnsi="Arial" w:cs="Arial"/>
          <w:sz w:val="24"/>
          <w:szCs w:val="24"/>
        </w:rPr>
        <w:t>horas</w:t>
      </w:r>
      <w:r w:rsidR="00906C51">
        <w:rPr>
          <w:rFonts w:ascii="Arial" w:hAnsi="Arial" w:cs="Arial"/>
          <w:sz w:val="24"/>
          <w:szCs w:val="24"/>
        </w:rPr>
        <w:t xml:space="preserve"> con trece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AE1A61">
        <w:rPr>
          <w:rFonts w:ascii="Arial" w:hAnsi="Arial" w:cs="Arial"/>
          <w:sz w:val="24"/>
          <w:szCs w:val="24"/>
        </w:rPr>
        <w:t>0</w:t>
      </w:r>
      <w:r w:rsidR="008E7EE7">
        <w:rPr>
          <w:rFonts w:ascii="Arial" w:hAnsi="Arial" w:cs="Arial"/>
          <w:sz w:val="24"/>
          <w:szCs w:val="24"/>
        </w:rPr>
        <w:t>3</w:t>
      </w:r>
      <w:r w:rsidR="00AE1A61">
        <w:rPr>
          <w:rFonts w:ascii="Arial" w:hAnsi="Arial" w:cs="Arial"/>
          <w:sz w:val="24"/>
          <w:szCs w:val="24"/>
        </w:rPr>
        <w:t xml:space="preserve"> de </w:t>
      </w:r>
      <w:r w:rsidR="008E7EE7">
        <w:rPr>
          <w:rFonts w:ascii="Arial" w:hAnsi="Arial" w:cs="Arial"/>
          <w:sz w:val="24"/>
          <w:szCs w:val="24"/>
        </w:rPr>
        <w:t>Dic</w:t>
      </w:r>
      <w:r w:rsidR="00AE1A61">
        <w:rPr>
          <w:rFonts w:ascii="Arial" w:hAnsi="Arial" w:cs="Arial"/>
          <w:sz w:val="24"/>
          <w:szCs w:val="24"/>
        </w:rPr>
        <w:t>iembre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del 2019.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:rsidR="002E02DE" w:rsidRDefault="002E02DE" w:rsidP="00200915">
      <w:pPr>
        <w:jc w:val="both"/>
        <w:rPr>
          <w:rFonts w:ascii="Arial" w:hAnsi="Arial" w:cs="Arial"/>
          <w:sz w:val="24"/>
          <w:szCs w:val="24"/>
        </w:rPr>
      </w:pPr>
    </w:p>
    <w:p w:rsidR="002E02DE" w:rsidRDefault="002E02DE" w:rsidP="002E0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 de la Comisión Edilicia de Reglamentos Municipales y Puntos Legislativos.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Pr="00F66B44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B44">
        <w:rPr>
          <w:rFonts w:ascii="Arial" w:hAnsi="Arial" w:cs="Arial"/>
          <w:b/>
          <w:sz w:val="24"/>
          <w:szCs w:val="24"/>
        </w:rPr>
        <w:t>JOSÉ LUIS SALAZAR MARTÍNEZ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rPr>
          <w:rFonts w:cstheme="minorHAnsi"/>
          <w:szCs w:val="24"/>
        </w:rPr>
      </w:pPr>
    </w:p>
    <w:p w:rsidR="002E02DE" w:rsidRPr="005B7867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:rsidR="002E02DE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:rsidR="002E02DE" w:rsidRDefault="002E02DE" w:rsidP="00200915">
      <w:pPr>
        <w:jc w:val="both"/>
        <w:rPr>
          <w:rFonts w:ascii="Arial" w:hAnsi="Arial" w:cs="Arial"/>
          <w:sz w:val="24"/>
          <w:szCs w:val="24"/>
        </w:rPr>
      </w:pPr>
    </w:p>
    <w:p w:rsidR="002E02DE" w:rsidRDefault="002E02DE" w:rsidP="002009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Integrantes de la Comisión Edilicia de Gobernación</w:t>
      </w:r>
    </w:p>
    <w:p w:rsidR="002E02DE" w:rsidRDefault="002E02DE" w:rsidP="00200915">
      <w:pPr>
        <w:jc w:val="both"/>
        <w:rPr>
          <w:rFonts w:ascii="Arial" w:hAnsi="Arial" w:cs="Arial"/>
          <w:b/>
          <w:sz w:val="24"/>
          <w:szCs w:val="24"/>
        </w:rPr>
      </w:pPr>
    </w:p>
    <w:p w:rsidR="002E02DE" w:rsidRPr="002E02DE" w:rsidRDefault="002E02DE" w:rsidP="00200915">
      <w:pPr>
        <w:jc w:val="both"/>
        <w:rPr>
          <w:rFonts w:ascii="Arial" w:hAnsi="Arial" w:cs="Arial"/>
          <w:b/>
          <w:sz w:val="24"/>
          <w:szCs w:val="24"/>
        </w:rPr>
      </w:pPr>
    </w:p>
    <w:p w:rsidR="009D5799" w:rsidRDefault="009D5799" w:rsidP="00200915">
      <w:pPr>
        <w:jc w:val="both"/>
        <w:rPr>
          <w:rFonts w:ascii="Arial" w:hAnsi="Arial" w:cs="Arial"/>
          <w:sz w:val="24"/>
          <w:szCs w:val="24"/>
        </w:rPr>
      </w:pPr>
    </w:p>
    <w:p w:rsidR="002E02DE" w:rsidRPr="005B7867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:rsidR="009D5799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</w:p>
    <w:p w:rsidR="002E02DE" w:rsidRPr="00F66B44" w:rsidRDefault="002E02DE" w:rsidP="002E02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B44">
        <w:rPr>
          <w:rFonts w:ascii="Arial" w:hAnsi="Arial" w:cs="Arial"/>
          <w:b/>
          <w:sz w:val="24"/>
          <w:szCs w:val="24"/>
        </w:rPr>
        <w:t>JOSÉ LUIS SALAZAR MARTÍNEZ</w:t>
      </w: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JORGE ANTONIO CHÁVEZ AMBRIZ</w:t>
      </w:r>
    </w:p>
    <w:p w:rsid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2E02DE" w:rsidRPr="002E02DE" w:rsidRDefault="002E02DE" w:rsidP="002E02DE">
      <w:pPr>
        <w:jc w:val="center"/>
        <w:rPr>
          <w:rFonts w:ascii="Arial" w:hAnsi="Arial" w:cs="Arial"/>
          <w:b/>
          <w:sz w:val="24"/>
          <w:szCs w:val="24"/>
        </w:rPr>
      </w:pPr>
    </w:p>
    <w:p w:rsidR="009D5799" w:rsidRPr="009D5799" w:rsidRDefault="009D5799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>MEGG/lmv</w:t>
      </w:r>
    </w:p>
    <w:sectPr w:rsidR="009D5799" w:rsidRPr="009D5799" w:rsidSect="00AD7426">
      <w:headerReference w:type="default" r:id="rId8"/>
      <w:footerReference w:type="default" r:id="rId9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62" w:rsidRDefault="00811262">
      <w:pPr>
        <w:spacing w:after="0" w:line="240" w:lineRule="auto"/>
      </w:pPr>
      <w:r>
        <w:separator/>
      </w:r>
    </w:p>
  </w:endnote>
  <w:endnote w:type="continuationSeparator" w:id="0">
    <w:p w:rsidR="00811262" w:rsidRDefault="0081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A8" w:rsidRPr="00DA60A8">
          <w:rPr>
            <w:noProof/>
            <w:lang w:val="es-ES"/>
          </w:rPr>
          <w:t>1</w:t>
        </w:r>
        <w:r>
          <w:fldChar w:fldCharType="end"/>
        </w:r>
      </w:p>
      <w:p w:rsidR="005A67E6" w:rsidRDefault="00811262" w:rsidP="00664CAE">
        <w:pPr>
          <w:pStyle w:val="Piedepgina"/>
          <w:jc w:val="both"/>
        </w:pPr>
      </w:p>
    </w:sdtContent>
  </w:sdt>
  <w:p w:rsidR="005A67E6" w:rsidRDefault="008112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62" w:rsidRDefault="00811262">
      <w:pPr>
        <w:spacing w:after="0" w:line="240" w:lineRule="auto"/>
      </w:pPr>
      <w:r>
        <w:separator/>
      </w:r>
    </w:p>
  </w:footnote>
  <w:footnote w:type="continuationSeparator" w:id="0">
    <w:p w:rsidR="00811262" w:rsidRDefault="0081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FC3791F" wp14:editId="590A535B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C2CB3A1" wp14:editId="59F4251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:rsidR="005A67E6" w:rsidRDefault="00811262">
    <w:pPr>
      <w:pStyle w:val="Encabezado"/>
    </w:pPr>
  </w:p>
  <w:p w:rsidR="005A67E6" w:rsidRDefault="008112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4733"/>
    <w:multiLevelType w:val="hybridMultilevel"/>
    <w:tmpl w:val="700857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A6F"/>
    <w:rsid w:val="00047FBF"/>
    <w:rsid w:val="00052E44"/>
    <w:rsid w:val="00074BF3"/>
    <w:rsid w:val="00087D66"/>
    <w:rsid w:val="000E10CB"/>
    <w:rsid w:val="000E68C3"/>
    <w:rsid w:val="000F14FB"/>
    <w:rsid w:val="000F4622"/>
    <w:rsid w:val="00197FF6"/>
    <w:rsid w:val="001A75F2"/>
    <w:rsid w:val="001B2823"/>
    <w:rsid w:val="001B5C51"/>
    <w:rsid w:val="001B644E"/>
    <w:rsid w:val="00200915"/>
    <w:rsid w:val="00234B04"/>
    <w:rsid w:val="002608C8"/>
    <w:rsid w:val="002C1621"/>
    <w:rsid w:val="002D4AB9"/>
    <w:rsid w:val="002E02DE"/>
    <w:rsid w:val="00334488"/>
    <w:rsid w:val="003C0422"/>
    <w:rsid w:val="00483425"/>
    <w:rsid w:val="00487C16"/>
    <w:rsid w:val="004C128F"/>
    <w:rsid w:val="004C6E17"/>
    <w:rsid w:val="004F3A11"/>
    <w:rsid w:val="004F66AF"/>
    <w:rsid w:val="00513797"/>
    <w:rsid w:val="005241E6"/>
    <w:rsid w:val="00547387"/>
    <w:rsid w:val="005F6A5B"/>
    <w:rsid w:val="00600DA2"/>
    <w:rsid w:val="0060146B"/>
    <w:rsid w:val="00603F11"/>
    <w:rsid w:val="00613FE9"/>
    <w:rsid w:val="00633B94"/>
    <w:rsid w:val="0063666E"/>
    <w:rsid w:val="0065133C"/>
    <w:rsid w:val="006A0A35"/>
    <w:rsid w:val="006B598A"/>
    <w:rsid w:val="00803FCB"/>
    <w:rsid w:val="00811262"/>
    <w:rsid w:val="008205FB"/>
    <w:rsid w:val="00841CA2"/>
    <w:rsid w:val="00843796"/>
    <w:rsid w:val="00850778"/>
    <w:rsid w:val="0085667C"/>
    <w:rsid w:val="008618BF"/>
    <w:rsid w:val="00866FDA"/>
    <w:rsid w:val="00871395"/>
    <w:rsid w:val="00887B56"/>
    <w:rsid w:val="008979AF"/>
    <w:rsid w:val="008E7EE7"/>
    <w:rsid w:val="008F105C"/>
    <w:rsid w:val="008F299B"/>
    <w:rsid w:val="00906C51"/>
    <w:rsid w:val="00937D15"/>
    <w:rsid w:val="0094402D"/>
    <w:rsid w:val="009902AD"/>
    <w:rsid w:val="00996D9B"/>
    <w:rsid w:val="009D0908"/>
    <w:rsid w:val="009D5799"/>
    <w:rsid w:val="00A0538C"/>
    <w:rsid w:val="00A149F5"/>
    <w:rsid w:val="00A633E6"/>
    <w:rsid w:val="00AB7773"/>
    <w:rsid w:val="00AD21AA"/>
    <w:rsid w:val="00AD3807"/>
    <w:rsid w:val="00AE1A61"/>
    <w:rsid w:val="00AF5099"/>
    <w:rsid w:val="00B02D5A"/>
    <w:rsid w:val="00B0342D"/>
    <w:rsid w:val="00B10C95"/>
    <w:rsid w:val="00B15767"/>
    <w:rsid w:val="00B26720"/>
    <w:rsid w:val="00B5700A"/>
    <w:rsid w:val="00BB04EB"/>
    <w:rsid w:val="00BD30FD"/>
    <w:rsid w:val="00BD5046"/>
    <w:rsid w:val="00BE39C6"/>
    <w:rsid w:val="00C277B7"/>
    <w:rsid w:val="00C27B07"/>
    <w:rsid w:val="00C76472"/>
    <w:rsid w:val="00C832D5"/>
    <w:rsid w:val="00CB0F1A"/>
    <w:rsid w:val="00CC015D"/>
    <w:rsid w:val="00CD7DA7"/>
    <w:rsid w:val="00D3074A"/>
    <w:rsid w:val="00D4429C"/>
    <w:rsid w:val="00D85D5F"/>
    <w:rsid w:val="00D910AD"/>
    <w:rsid w:val="00DA0D12"/>
    <w:rsid w:val="00DA60A8"/>
    <w:rsid w:val="00DB6E20"/>
    <w:rsid w:val="00E00EF2"/>
    <w:rsid w:val="00E83F6A"/>
    <w:rsid w:val="00EE337C"/>
    <w:rsid w:val="00EE3773"/>
    <w:rsid w:val="00EE4DB6"/>
    <w:rsid w:val="00EF0FD9"/>
    <w:rsid w:val="00EF1BB1"/>
    <w:rsid w:val="00F01035"/>
    <w:rsid w:val="00F16523"/>
    <w:rsid w:val="00F44653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65EC4-70B8-4BB1-B3CF-00B4EA2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7613-DD6D-4957-BF4D-6CAF5BE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One</cp:lastModifiedBy>
  <cp:revision>2</cp:revision>
  <cp:lastPrinted>2019-09-23T17:46:00Z</cp:lastPrinted>
  <dcterms:created xsi:type="dcterms:W3CDTF">2020-01-21T15:36:00Z</dcterms:created>
  <dcterms:modified xsi:type="dcterms:W3CDTF">2020-01-21T15:36:00Z</dcterms:modified>
</cp:coreProperties>
</file>