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C8" w:rsidRDefault="008C25C8">
      <w:bookmarkStart w:id="0" w:name="_GoBack"/>
      <w:bookmarkEnd w:id="0"/>
    </w:p>
    <w:tbl>
      <w:tblPr>
        <w:tblStyle w:val="Tablaconcuadrcula"/>
        <w:tblW w:w="0" w:type="auto"/>
        <w:tblLook w:val="04A0" w:firstRow="1" w:lastRow="0" w:firstColumn="1" w:lastColumn="0" w:noHBand="0" w:noVBand="1"/>
      </w:tblPr>
      <w:tblGrid>
        <w:gridCol w:w="1825"/>
        <w:gridCol w:w="5087"/>
      </w:tblGrid>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rsidR="00AB3016" w:rsidRPr="00F23110" w:rsidRDefault="00AB3016" w:rsidP="00F23110">
            <w:pPr>
              <w:jc w:val="center"/>
              <w:rPr>
                <w:rFonts w:ascii="Times New Roman" w:hAnsi="Times New Roman" w:cs="Times New Roman"/>
                <w:szCs w:val="24"/>
              </w:rPr>
            </w:pPr>
            <w:r w:rsidRPr="00F23110">
              <w:rPr>
                <w:rFonts w:ascii="Times New Roman" w:hAnsi="Times New Roman" w:cs="Times New Roman"/>
                <w:szCs w:val="24"/>
              </w:rPr>
              <w:t xml:space="preserve"> Octubre 2018- </w:t>
            </w:r>
            <w:r w:rsidR="00F23110">
              <w:rPr>
                <w:rFonts w:ascii="Times New Roman" w:hAnsi="Times New Roman" w:cs="Times New Roman"/>
                <w:szCs w:val="24"/>
              </w:rPr>
              <w:t>Diciembre 2018</w:t>
            </w:r>
          </w:p>
        </w:tc>
      </w:tr>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rsidR="00AB3016" w:rsidRPr="00F23110" w:rsidRDefault="00AB3016" w:rsidP="00FD4F49">
            <w:pPr>
              <w:jc w:val="center"/>
              <w:rPr>
                <w:rFonts w:ascii="Times New Roman" w:hAnsi="Times New Roman" w:cs="Times New Roman"/>
                <w:szCs w:val="24"/>
              </w:rPr>
            </w:pPr>
            <w:r w:rsidRPr="00F23110">
              <w:rPr>
                <w:rFonts w:ascii="Times New Roman" w:hAnsi="Times New Roman" w:cs="Times New Roman"/>
                <w:szCs w:val="24"/>
              </w:rPr>
              <w:t>Trimestral</w:t>
            </w: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6"/>
        <w:gridCol w:w="13489"/>
      </w:tblGrid>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rsidR="00315D81" w:rsidRPr="00F23110" w:rsidRDefault="00315D81" w:rsidP="00FD4F49">
            <w:pPr>
              <w:jc w:val="center"/>
              <w:rPr>
                <w:rFonts w:ascii="Times New Roman" w:hAnsi="Times New Roman" w:cs="Times New Roman"/>
                <w:b/>
                <w:szCs w:val="24"/>
              </w:rPr>
            </w:pPr>
          </w:p>
          <w:p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rsidR="00315D81" w:rsidRPr="00F23110" w:rsidRDefault="00315D81" w:rsidP="00FD4F49">
            <w:pPr>
              <w:jc w:val="center"/>
              <w:rPr>
                <w:rFonts w:ascii="Times New Roman" w:hAnsi="Times New Roman" w:cs="Times New Roman"/>
                <w:b/>
                <w:szCs w:val="24"/>
              </w:rPr>
            </w:pPr>
          </w:p>
        </w:tc>
      </w:tr>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rsidR="00315D81" w:rsidRPr="00F23110" w:rsidRDefault="00315D81" w:rsidP="00315D81">
            <w:pPr>
              <w:rPr>
                <w:rFonts w:ascii="Times New Roman" w:hAnsi="Times New Roman" w:cs="Times New Roman"/>
                <w:szCs w:val="24"/>
              </w:rPr>
            </w:pPr>
          </w:p>
          <w:p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left"/>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rsidR="00AB3016" w:rsidRPr="00F23110" w:rsidRDefault="00AB3016" w:rsidP="00AB3016">
      <w:pPr>
        <w:jc w:val="left"/>
        <w:rPr>
          <w:rFonts w:ascii="Times New Roman" w:hAnsi="Times New Roman" w:cs="Times New Roman"/>
          <w:b/>
          <w:szCs w:val="24"/>
        </w:rPr>
      </w:pPr>
    </w:p>
    <w:p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DEL GOBIERNO Y LA ADMINISTRACIÓN PÚBLICA DEL AYUNTAMIENTO CONSTITUCIONAL DE SAN PEDRO TLAQUEPAQUE, </w:t>
      </w:r>
      <w:r w:rsidR="00E66D67" w:rsidRPr="00F23110">
        <w:rPr>
          <w:rFonts w:ascii="Times New Roman" w:hAnsi="Times New Roman" w:cs="Times New Roman"/>
          <w:szCs w:val="24"/>
        </w:rPr>
        <w:t xml:space="preserve">  entre otros los siguientes: </w:t>
      </w:r>
    </w:p>
    <w:p w:rsidR="0071666D" w:rsidRPr="00F23110" w:rsidRDefault="0071666D" w:rsidP="00AB3016">
      <w:pPr>
        <w:jc w:val="left"/>
        <w:rPr>
          <w:rFonts w:ascii="Times New Roman" w:hAnsi="Times New Roman" w:cs="Times New Roman"/>
          <w:szCs w:val="24"/>
        </w:rPr>
      </w:pPr>
    </w:p>
    <w:p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rsidR="00192EE5" w:rsidRPr="00F23110" w:rsidRDefault="00192EE5" w:rsidP="00AB3016">
      <w:pPr>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192EE5" w:rsidRPr="00F23110" w:rsidRDefault="00192EE5" w:rsidP="00192EE5">
      <w:pPr>
        <w:ind w:left="3119"/>
        <w:jc w:val="left"/>
        <w:rPr>
          <w:rFonts w:ascii="Times New Roman" w:hAnsi="Times New Roman" w:cs="Times New Roman"/>
          <w:szCs w:val="24"/>
        </w:rPr>
      </w:pPr>
    </w:p>
    <w:p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rsidR="00315D81" w:rsidRPr="00F23110" w:rsidRDefault="00315D81" w:rsidP="00CF232F">
      <w:pPr>
        <w:ind w:left="2835"/>
        <w:jc w:val="left"/>
        <w:rPr>
          <w:rFonts w:ascii="Times New Roman" w:hAnsi="Times New Roman" w:cs="Times New Roman"/>
          <w:szCs w:val="24"/>
        </w:rPr>
      </w:pPr>
    </w:p>
    <w:p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rsidR="0071666D" w:rsidRPr="00F23110" w:rsidRDefault="0071666D" w:rsidP="00CF232F">
      <w:pPr>
        <w:ind w:left="2835"/>
        <w:rPr>
          <w:rFonts w:ascii="Times New Roman" w:hAnsi="Times New Roman" w:cs="Times New Roman"/>
          <w:szCs w:val="24"/>
        </w:rPr>
      </w:pP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resiliencia ante los riesgos y los efectos del cambio climático;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XIII. La seguridad pública; y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XIV. Otras que a propuesta de cualquiera de las instancias de coordinación del Instituto de Planeación y Gestión del Desarrollo o de la Junta de Coordinación Metropolitana requieran desarrollo, siempre que formen parte de las materias de la Agenda Metropolitana.</w:t>
      </w:r>
    </w:p>
    <w:p w:rsidR="00CF232F" w:rsidRPr="00F23110" w:rsidRDefault="00CF232F" w:rsidP="00CF232F">
      <w:pPr>
        <w:ind w:left="2835"/>
        <w:outlineLvl w:val="0"/>
        <w:rPr>
          <w:rFonts w:ascii="Times New Roman" w:hAnsi="Times New Roman" w:cs="Times New Roman"/>
          <w:b/>
          <w:szCs w:val="24"/>
        </w:rPr>
      </w:pPr>
    </w:p>
    <w:p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rsidR="00AB3016" w:rsidRPr="00F23110" w:rsidRDefault="00AB3016" w:rsidP="00CF232F">
      <w:pPr>
        <w:ind w:left="2835"/>
        <w:jc w:val="left"/>
        <w:rPr>
          <w:rFonts w:ascii="Times New Roman" w:hAnsi="Times New Roman" w:cs="Times New Roman"/>
          <w:b/>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Cada comisión deberá mantener actualizada la reglamentación correspondientes a su ramo, para tal efecto presentará con oportunidad al pleno las actualizaciones correspondientes para su aprobación.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6A7E" w:rsidRPr="00F23110" w:rsidRDefault="00486A7E" w:rsidP="00CF232F">
      <w:pPr>
        <w:pStyle w:val="Estilo"/>
        <w:ind w:left="2835"/>
        <w:rPr>
          <w:rFonts w:ascii="Times New Roman" w:hAnsi="Times New Roman"/>
          <w:b/>
          <w:szCs w:val="24"/>
        </w:rPr>
      </w:pPr>
    </w:p>
    <w:p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rsidR="00526D75" w:rsidRPr="00F23110" w:rsidRDefault="00526D75" w:rsidP="00CF232F">
      <w:pPr>
        <w:pStyle w:val="Estilo"/>
        <w:ind w:left="2835"/>
        <w:rPr>
          <w:rFonts w:ascii="Times New Roman" w:hAnsi="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rsidR="00486A7E" w:rsidRPr="00F23110" w:rsidRDefault="00486A7E" w:rsidP="00CF232F">
      <w:pPr>
        <w:ind w:left="2835"/>
        <w:jc w:val="left"/>
        <w:rPr>
          <w:rFonts w:ascii="Times New Roman" w:hAnsi="Times New Roman" w:cs="Times New Roman"/>
          <w:b/>
          <w:szCs w:val="24"/>
        </w:rPr>
      </w:pPr>
    </w:p>
    <w:p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rsidR="00AB3016" w:rsidRPr="00F23110" w:rsidRDefault="00AB3016" w:rsidP="00CF232F">
      <w:pPr>
        <w:ind w:left="2835"/>
        <w:jc w:val="left"/>
        <w:rPr>
          <w:rFonts w:ascii="Times New Roman" w:hAnsi="Times New Roman" w:cs="Times New Roman"/>
          <w:szCs w:val="24"/>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526D75" w:rsidRPr="00F23110" w:rsidRDefault="00526D75" w:rsidP="00CF232F">
      <w:pPr>
        <w:tabs>
          <w:tab w:val="left" w:pos="709"/>
        </w:tabs>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w:t>
      </w:r>
      <w:proofErr w:type="spellStart"/>
      <w:r w:rsidRPr="00F23110">
        <w:rPr>
          <w:rFonts w:ascii="Times New Roman" w:hAnsi="Times New Roman" w:cs="Times New Roman"/>
          <w:szCs w:val="24"/>
        </w:rPr>
        <w:t>dicataminación</w:t>
      </w:r>
      <w:proofErr w:type="spellEnd"/>
      <w:r w:rsidRPr="00F23110">
        <w:rPr>
          <w:rFonts w:ascii="Times New Roman" w:hAnsi="Times New Roman" w:cs="Times New Roman"/>
          <w:szCs w:val="24"/>
        </w:rPr>
        <w:t xml:space="preserve">, así como los soportes documentales de los demás asuntos a tratar. </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F23110">
        <w:rPr>
          <w:rFonts w:ascii="Times New Roman" w:hAnsi="Times New Roman" w:cs="Times New Roman"/>
          <w:szCs w:val="24"/>
          <w:lang w:val="es-ES_tradnl"/>
        </w:rPr>
        <w:t>stas</w:t>
      </w:r>
      <w:proofErr w:type="spellEnd"/>
      <w:r w:rsidRPr="00F23110">
        <w:rPr>
          <w:rFonts w:ascii="Times New Roman" w:hAnsi="Times New Roman" w:cs="Times New Roman"/>
          <w:szCs w:val="24"/>
          <w:lang w:val="es-ES_tradnl"/>
        </w:rPr>
        <w:t xml:space="preserve"> Comisiones concluyen su labor con la presentación del dictamen o informe respectivo ante el Ayuntamiento y cumplido que sea su objeto se disuelven sin necesidad de acuerdo expreso al respecto.</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t>Las Comisiones sesionan válidamente con la asistencia de la mayoría de los miembros que las conforman y sus decisiones son igualmente válidas con la aprobación de la mayoría de los presentes.</w:t>
      </w:r>
    </w:p>
    <w:p w:rsidR="00E77022" w:rsidRPr="00F23110" w:rsidRDefault="00E77022"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lastRenderedPageBreak/>
        <w:t>Artículo 77.-</w:t>
      </w:r>
      <w:r w:rsidRPr="00F23110">
        <w:rPr>
          <w:rFonts w:ascii="Times New Roman" w:hAnsi="Times New Roman" w:cs="Times New Roman"/>
          <w:szCs w:val="24"/>
          <w:lang w:val="es-ES_tradnl"/>
        </w:rPr>
        <w:t xml:space="preserve"> Los vocales de las Comisiones tendrán las siguientes atribuciones: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w:t>
      </w:r>
      <w:proofErr w:type="spellStart"/>
      <w:r w:rsidRPr="00F23110">
        <w:rPr>
          <w:rFonts w:ascii="Times New Roman" w:hAnsi="Times New Roman" w:cs="Times New Roman"/>
          <w:szCs w:val="24"/>
          <w:lang w:val="es-ES_tradnl"/>
        </w:rPr>
        <w:t>eficientar</w:t>
      </w:r>
      <w:proofErr w:type="spellEnd"/>
      <w:r w:rsidRPr="00F23110">
        <w:rPr>
          <w:rFonts w:ascii="Times New Roman" w:hAnsi="Times New Roman" w:cs="Times New Roman"/>
          <w:szCs w:val="24"/>
          <w:lang w:val="es-ES_tradnl"/>
        </w:rPr>
        <w:t xml:space="preserve"> las funciones del gobierno municipal, dentro del área de su competencia.</w:t>
      </w:r>
    </w:p>
    <w:p w:rsidR="006C296C" w:rsidRPr="00F23110" w:rsidRDefault="006C296C" w:rsidP="00CF232F">
      <w:pPr>
        <w:tabs>
          <w:tab w:val="left" w:pos="709"/>
          <w:tab w:val="right" w:pos="2672"/>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F23110">
        <w:rPr>
          <w:rFonts w:ascii="Times New Roman" w:hAnsi="Times New Roman" w:cs="Times New Roman"/>
          <w:szCs w:val="24"/>
          <w:lang w:val="es-ES_tradnl"/>
        </w:rPr>
        <w:t>dictaminación</w:t>
      </w:r>
      <w:proofErr w:type="spellEnd"/>
      <w:r w:rsidRPr="00F23110">
        <w:rPr>
          <w:rFonts w:ascii="Times New Roman" w:hAnsi="Times New Roman" w:cs="Times New Roman"/>
          <w:szCs w:val="24"/>
          <w:lang w:val="es-ES_tradnl"/>
        </w:rPr>
        <w:t xml:space="preserve"> del asunto turnado a dicha comisión o  comisiones la cual será enviada a la Secretaría del Ayuntamiento para turno a sesión del Pleno del Ayuntamiento. </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6C296C" w:rsidRPr="00F23110" w:rsidRDefault="006C296C" w:rsidP="00CF232F">
      <w:pPr>
        <w:tabs>
          <w:tab w:val="left" w:pos="709"/>
          <w:tab w:val="right" w:pos="5380"/>
        </w:tabs>
        <w:ind w:left="2835"/>
        <w:rPr>
          <w:rFonts w:ascii="Times New Roman" w:hAnsi="Times New Roman" w:cs="Times New Roman"/>
          <w:szCs w:val="24"/>
          <w:lang w:val="es-ES_tradnl"/>
        </w:rPr>
      </w:pPr>
    </w:p>
    <w:p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rsidR="006C296C" w:rsidRPr="00F23110" w:rsidRDefault="006C296C" w:rsidP="00CF232F">
      <w:pPr>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w:t>
      </w:r>
      <w:proofErr w:type="spellStart"/>
      <w:r w:rsidRPr="00F23110">
        <w:rPr>
          <w:rFonts w:ascii="Times New Roman" w:hAnsi="Times New Roman" w:cs="Times New Roman"/>
          <w:szCs w:val="24"/>
          <w:lang w:val="es-ES_tradnl"/>
        </w:rPr>
        <w:t>dictaminación</w:t>
      </w:r>
      <w:proofErr w:type="spellEnd"/>
      <w:r w:rsidRPr="00F23110">
        <w:rPr>
          <w:rFonts w:ascii="Times New Roman" w:hAnsi="Times New Roman" w:cs="Times New Roman"/>
          <w:szCs w:val="24"/>
          <w:lang w:val="es-ES_tradnl"/>
        </w:rPr>
        <w:t>, según el caso, de los asuntos que el Ayuntamiento, le turne a la comisión que preside;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lastRenderedPageBreak/>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rsidR="006C296C" w:rsidRPr="00F23110" w:rsidRDefault="006C296C" w:rsidP="00CF232F">
      <w:pPr>
        <w:tabs>
          <w:tab w:val="left" w:pos="709"/>
        </w:tabs>
        <w:ind w:left="2835"/>
        <w:rPr>
          <w:rFonts w:ascii="Times New Roman" w:hAnsi="Times New Roman" w:cs="Times New Roman"/>
          <w:b/>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rsidR="00A26498" w:rsidRPr="00F23110" w:rsidRDefault="00A26498" w:rsidP="00CF232F">
      <w:pPr>
        <w:tabs>
          <w:tab w:val="left" w:pos="709"/>
        </w:tabs>
        <w:ind w:left="2835"/>
        <w:rPr>
          <w:rFonts w:ascii="Times New Roman" w:hAnsi="Times New Roman" w:cs="Times New Roman"/>
          <w:szCs w:val="24"/>
        </w:rPr>
      </w:pPr>
    </w:p>
    <w:p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Por acuerdo del Ayuntamiento se pueden constituir nuevas comisiones; aumentar el número de miembros de algunas de las comisiones establecidas o modificar su integración.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lastRenderedPageBreak/>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rsidR="006C296C" w:rsidRPr="00F23110" w:rsidRDefault="006C296C" w:rsidP="00CF232F">
      <w:pPr>
        <w:pStyle w:val="Sinespaciado"/>
        <w:spacing w:line="276" w:lineRule="auto"/>
        <w:ind w:left="2835" w:right="1134"/>
        <w:rPr>
          <w:b/>
        </w:rPr>
      </w:pPr>
    </w:p>
    <w:p w:rsidR="00787B54" w:rsidRPr="00F23110" w:rsidRDefault="00787B54" w:rsidP="00CF232F">
      <w:pPr>
        <w:pStyle w:val="Sinespaciado"/>
        <w:spacing w:line="276" w:lineRule="auto"/>
        <w:ind w:left="2835" w:right="1134"/>
        <w:rPr>
          <w:b/>
        </w:rPr>
      </w:pPr>
      <w:r w:rsidRPr="00F23110">
        <w:rPr>
          <w:b/>
        </w:rPr>
        <w:t>(…)</w:t>
      </w:r>
    </w:p>
    <w:p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rsidR="00787B54" w:rsidRPr="00F23110" w:rsidRDefault="00787B54" w:rsidP="00CF232F">
      <w:pPr>
        <w:jc w:val="left"/>
        <w:rPr>
          <w:rFonts w:ascii="Times New Roman" w:hAnsi="Times New Roman" w:cs="Times New Roman"/>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 xml:space="preserve">Realizar los estudios pertinentes respecto del tema de la </w:t>
      </w:r>
      <w:proofErr w:type="spellStart"/>
      <w:r w:rsidRPr="00F23110">
        <w:rPr>
          <w:rFonts w:ascii="Times New Roman" w:hAnsi="Times New Roman" w:cs="Times New Roman"/>
          <w:szCs w:val="24"/>
        </w:rPr>
        <w:t>metropolización</w:t>
      </w:r>
      <w:proofErr w:type="spellEnd"/>
      <w:r w:rsidRPr="00F23110">
        <w:rPr>
          <w:rFonts w:ascii="Times New Roman" w:hAnsi="Times New Roman" w:cs="Times New Roman"/>
          <w:szCs w:val="24"/>
        </w:rPr>
        <w:t xml:space="preserve"> a efecto de orientar la política que en esta materia deba emprender el Municipio;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rsidR="006C296C" w:rsidRPr="00F23110" w:rsidRDefault="006C296C" w:rsidP="00CF232F">
      <w:pPr>
        <w:tabs>
          <w:tab w:val="left" w:pos="709"/>
        </w:tabs>
        <w:autoSpaceDE w:val="0"/>
        <w:ind w:left="2835"/>
        <w:rPr>
          <w:rFonts w:ascii="Times New Roman" w:hAnsi="Times New Roman" w:cs="Times New Roman"/>
          <w:b/>
          <w:bCs/>
          <w:szCs w:val="24"/>
        </w:rPr>
      </w:pPr>
    </w:p>
    <w:p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rsidR="00526D75" w:rsidRPr="00F23110" w:rsidRDefault="00526D75" w:rsidP="00CF232F">
      <w:pPr>
        <w:ind w:left="2835"/>
        <w:jc w:val="left"/>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w:t>
      </w:r>
      <w:r w:rsidRPr="00F23110">
        <w:rPr>
          <w:rFonts w:ascii="Times New Roman" w:hAnsi="Times New Roman" w:cs="Times New Roman"/>
          <w:szCs w:val="24"/>
        </w:rPr>
        <w:lastRenderedPageBreak/>
        <w:t>pues pueden ser modificadas o rechazadas por el máximo Órgano de Gobierno Municipal y tampoco genera derecho a persona alguna, por lo que únicamente da inicio al procedimiento deliberativo del Ayuntamiento.</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rsidR="006C296C" w:rsidRPr="00F23110" w:rsidRDefault="006C296C" w:rsidP="00CF232F">
      <w:pPr>
        <w:tabs>
          <w:tab w:val="left" w:pos="709"/>
        </w:tabs>
        <w:ind w:left="2835"/>
        <w:rPr>
          <w:rFonts w:ascii="Times New Roman" w:hAnsi="Times New Roman" w:cs="Times New Roman"/>
          <w:b/>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F23110">
        <w:rPr>
          <w:rFonts w:ascii="Times New Roman" w:hAnsi="Times New Roman" w:cs="Times New Roman"/>
          <w:szCs w:val="24"/>
        </w:rPr>
        <w:t>agendadas</w:t>
      </w:r>
      <w:proofErr w:type="spellEnd"/>
      <w:r w:rsidRPr="00F23110">
        <w:rPr>
          <w:rFonts w:ascii="Times New Roman" w:hAnsi="Times New Roman" w:cs="Times New Roman"/>
          <w:szCs w:val="24"/>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rsidR="006C296C" w:rsidRPr="00F23110" w:rsidRDefault="006C296C" w:rsidP="00CF232F">
      <w:pPr>
        <w:ind w:left="2835"/>
        <w:jc w:val="left"/>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w:t>
      </w:r>
      <w:r w:rsidRPr="00F23110">
        <w:rPr>
          <w:rFonts w:ascii="Times New Roman" w:hAnsi="Times New Roman" w:cs="Times New Roman"/>
          <w:szCs w:val="24"/>
        </w:rPr>
        <w:t xml:space="preserve"> Firmas o rubricas autógrafas de los miembros de las Comisiones Edilicias dictaminadoras en cada una de sus fojas; y</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Si el Ayuntamiento decide que se regrese a Comisión, se debe cumplir el plazo establecido por este ordenamiento para su dictaminación.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787B54" w:rsidRPr="00F23110" w:rsidRDefault="00787B54" w:rsidP="00CF232F">
      <w:pPr>
        <w:tabs>
          <w:tab w:val="left" w:pos="709"/>
        </w:tabs>
        <w:ind w:left="2835"/>
        <w:rPr>
          <w:rFonts w:ascii="Times New Roman" w:hAnsi="Times New Roman" w:cs="Times New Roman"/>
          <w:szCs w:val="24"/>
        </w:rPr>
      </w:pPr>
    </w:p>
    <w:p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rsidR="00E77022" w:rsidRPr="00F23110" w:rsidRDefault="00E77022" w:rsidP="00F23110">
      <w:pPr>
        <w:tabs>
          <w:tab w:val="left" w:pos="709"/>
        </w:tabs>
        <w:ind w:left="2835"/>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rsidR="00AB3016" w:rsidRPr="00F23110" w:rsidRDefault="00AB3016" w:rsidP="00AB3016">
      <w:pPr>
        <w:jc w:val="left"/>
        <w:rPr>
          <w:rFonts w:ascii="Times New Roman" w:hAnsi="Times New Roman" w:cs="Times New Roman"/>
          <w:szCs w:val="24"/>
        </w:rPr>
      </w:pPr>
    </w:p>
    <w:p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rsidR="00AB3016" w:rsidRDefault="00AB3016"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Default="00E03A45" w:rsidP="00AB3016">
      <w:pPr>
        <w:jc w:val="left"/>
        <w:rPr>
          <w:rFonts w:ascii="Times New Roman" w:hAnsi="Times New Roman" w:cs="Times New Roman"/>
          <w:szCs w:val="24"/>
        </w:rPr>
      </w:pPr>
    </w:p>
    <w:p w:rsidR="00E03A45" w:rsidRPr="00F23110" w:rsidRDefault="00E03A45" w:rsidP="00AB3016">
      <w:pPr>
        <w:jc w:val="left"/>
        <w:rPr>
          <w:rFonts w:ascii="Times New Roman" w:hAnsi="Times New Roman" w:cs="Times New Roman"/>
          <w:szCs w:val="24"/>
        </w:rPr>
      </w:pPr>
    </w:p>
    <w:p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Objetivos específicos:</w:t>
      </w:r>
    </w:p>
    <w:p w:rsidR="00AB3016" w:rsidRPr="00F23110" w:rsidRDefault="00AB3016" w:rsidP="00AB3016">
      <w:pPr>
        <w:jc w:val="left"/>
        <w:rPr>
          <w:rFonts w:ascii="Times New Roman" w:hAnsi="Times New Roman" w:cs="Times New Roman"/>
          <w:b/>
          <w:szCs w:val="24"/>
        </w:rPr>
      </w:pP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rsidR="00E03A45" w:rsidRPr="00F23110" w:rsidRDefault="00E03A45" w:rsidP="00E03A45">
      <w:pPr>
        <w:pStyle w:val="Prrafodelista"/>
        <w:ind w:left="2835"/>
        <w:jc w:val="left"/>
        <w:rPr>
          <w:rFonts w:ascii="Times New Roman" w:hAnsi="Times New Roman" w:cs="Times New Roman"/>
          <w:szCs w:val="24"/>
        </w:rPr>
      </w:pPr>
    </w:p>
    <w:p w:rsidR="00AB3016" w:rsidRPr="00F23110" w:rsidRDefault="00F23110" w:rsidP="00C767E6">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Informe de Actividades del Periodo comprendido del mes de octubre a diciembre del año 2018.</w:t>
      </w:r>
    </w:p>
    <w:p w:rsidR="00F23110" w:rsidRPr="000057EC" w:rsidRDefault="00F23110" w:rsidP="00C767E6">
      <w:pPr>
        <w:jc w:val="left"/>
        <w:rPr>
          <w:rFonts w:ascii="Times New Roman" w:hAnsi="Times New Roman" w:cs="Times New Roman"/>
          <w:sz w:val="22"/>
          <w:szCs w:val="24"/>
        </w:rPr>
      </w:pPr>
    </w:p>
    <w:p w:rsidR="00F23110" w:rsidRPr="000057EC" w:rsidRDefault="00F23110" w:rsidP="00F23110">
      <w:pPr>
        <w:rPr>
          <w:rFonts w:ascii="Times New Roman" w:hAnsi="Times New Roman" w:cs="Times New Roman"/>
        </w:rPr>
      </w:pPr>
      <w:r w:rsidRPr="000057EC">
        <w:rPr>
          <w:rFonts w:ascii="Times New Roman" w:hAnsi="Times New Roman" w:cs="Times New Roman"/>
        </w:rPr>
        <w:t xml:space="preserve">Se programaron dos sesiones durante este trimestre, las cuales a continuación se describen: </w:t>
      </w:r>
    </w:p>
    <w:p w:rsidR="00F23110" w:rsidRPr="000057EC" w:rsidRDefault="00F23110" w:rsidP="00F23110">
      <w:pPr>
        <w:rPr>
          <w:rFonts w:ascii="Times New Roman" w:hAnsi="Times New Roman" w:cs="Times New Roman"/>
        </w:rPr>
      </w:pPr>
    </w:p>
    <w:p w:rsidR="00F23110" w:rsidRPr="000057EC" w:rsidRDefault="00F23110" w:rsidP="00F23110">
      <w:pPr>
        <w:widowControl w:val="0"/>
        <w:numPr>
          <w:ilvl w:val="0"/>
          <w:numId w:val="5"/>
        </w:numPr>
        <w:suppressAutoHyphens/>
        <w:spacing w:line="240" w:lineRule="auto"/>
        <w:rPr>
          <w:rFonts w:ascii="Times New Roman" w:hAnsi="Times New Roman" w:cs="Times New Roman"/>
        </w:rPr>
      </w:pPr>
      <w:r w:rsidRPr="000057EC">
        <w:rPr>
          <w:rFonts w:ascii="Times New Roman" w:hAnsi="Times New Roman" w:cs="Times New Roman"/>
        </w:rPr>
        <w:t>En la sesión de fecha 31 de octubre del año 2018 se  llevó a cabo la instalación de la Comisión Edilicia de Asuntos Metropolitanos.</w:t>
      </w:r>
    </w:p>
    <w:p w:rsidR="00F23110" w:rsidRPr="000057EC" w:rsidRDefault="00F23110" w:rsidP="00F23110">
      <w:pPr>
        <w:rPr>
          <w:rFonts w:ascii="Times New Roman" w:hAnsi="Times New Roman" w:cs="Times New Roman"/>
        </w:rPr>
      </w:pPr>
    </w:p>
    <w:p w:rsidR="00F23110" w:rsidRPr="000057EC" w:rsidRDefault="00F23110" w:rsidP="00F23110">
      <w:pPr>
        <w:widowControl w:val="0"/>
        <w:numPr>
          <w:ilvl w:val="0"/>
          <w:numId w:val="5"/>
        </w:numPr>
        <w:suppressAutoHyphens/>
        <w:spacing w:line="240" w:lineRule="auto"/>
        <w:rPr>
          <w:rFonts w:ascii="Times New Roman" w:hAnsi="Times New Roman" w:cs="Times New Roman"/>
        </w:rPr>
      </w:pPr>
      <w:r w:rsidRPr="000057EC">
        <w:rPr>
          <w:rFonts w:ascii="Times New Roman" w:hAnsi="Times New Roman" w:cs="Times New Roman"/>
        </w:rPr>
        <w:t>En la sesión del día 30 de noviembre del año 2018 se presentó el Plan de Trabajo de la Comisión Edilicia de Asuntos Metropolitanos, mismo que fue aprobado por unanimidad, tanto en su objetivo general como en los específicos. De igual manera se giró oficio número</w:t>
      </w:r>
      <w:r w:rsidR="000057EC" w:rsidRPr="000057EC">
        <w:rPr>
          <w:rFonts w:ascii="Times New Roman" w:hAnsi="Times New Roman" w:cs="Times New Roman"/>
        </w:rPr>
        <w:t xml:space="preserve"> 028/2018</w:t>
      </w:r>
      <w:r w:rsidRPr="000057EC">
        <w:rPr>
          <w:rFonts w:ascii="Times New Roman" w:hAnsi="Times New Roman" w:cs="Times New Roman"/>
        </w:rPr>
        <w:t xml:space="preserve">  a la Dirección General de Políticas Publicas a efecto de que emita un diagnóstico del estado en que se encuentra la materia que nos ocupa.</w:t>
      </w:r>
    </w:p>
    <w:p w:rsidR="000057EC" w:rsidRPr="000057EC" w:rsidRDefault="000057EC" w:rsidP="000057EC">
      <w:pPr>
        <w:pStyle w:val="Prrafodelista"/>
        <w:rPr>
          <w:rFonts w:ascii="Times New Roman" w:hAnsi="Times New Roman" w:cs="Times New Roman"/>
        </w:rPr>
      </w:pPr>
    </w:p>
    <w:p w:rsidR="000057EC" w:rsidRPr="000057EC" w:rsidRDefault="000057EC" w:rsidP="000057EC">
      <w:pPr>
        <w:widowControl w:val="0"/>
        <w:suppressAutoHyphens/>
        <w:spacing w:line="240" w:lineRule="auto"/>
        <w:rPr>
          <w:rFonts w:ascii="Times New Roman" w:hAnsi="Times New Roman" w:cs="Times New Roman"/>
        </w:rPr>
      </w:pPr>
      <w:r w:rsidRPr="000057EC">
        <w:rPr>
          <w:rFonts w:ascii="Times New Roman" w:hAnsi="Times New Roman" w:cs="Times New Roman"/>
        </w:rPr>
        <w:t xml:space="preserve">De cada sesión descrita en líneas anteriores se elaboró el Acta respectiva y fueron enviadas junto con la convocatoria y el orden del </w:t>
      </w:r>
      <w:r w:rsidR="004B72B4" w:rsidRPr="000057EC">
        <w:rPr>
          <w:rFonts w:ascii="Times New Roman" w:hAnsi="Times New Roman" w:cs="Times New Roman"/>
        </w:rPr>
        <w:t>día</w:t>
      </w:r>
      <w:r w:rsidRPr="000057EC">
        <w:rPr>
          <w:rFonts w:ascii="Times New Roman" w:hAnsi="Times New Roman" w:cs="Times New Roman"/>
        </w:rPr>
        <w:t xml:space="preserve"> a la Unidad de Transparencia del Municipio de San Pedro Tlaquepaque para su debida publicación en la página web </w:t>
      </w:r>
      <w:proofErr w:type="spellStart"/>
      <w:proofErr w:type="gramStart"/>
      <w:r w:rsidRPr="000057EC">
        <w:rPr>
          <w:rFonts w:ascii="Times New Roman" w:hAnsi="Times New Roman" w:cs="Times New Roman"/>
        </w:rPr>
        <w:t>de el</w:t>
      </w:r>
      <w:proofErr w:type="spellEnd"/>
      <w:proofErr w:type="gramEnd"/>
      <w:r w:rsidRPr="000057EC">
        <w:rPr>
          <w:rFonts w:ascii="Times New Roman" w:hAnsi="Times New Roman" w:cs="Times New Roman"/>
        </w:rPr>
        <w:t xml:space="preserve"> Municipio.</w:t>
      </w:r>
    </w:p>
    <w:p w:rsidR="00F23110" w:rsidRPr="000057EC" w:rsidRDefault="00F23110" w:rsidP="00F23110">
      <w:pPr>
        <w:pStyle w:val="Prrafodelista"/>
        <w:rPr>
          <w:rFonts w:ascii="Times New Roman" w:hAnsi="Times New Roman" w:cs="Times New Roman"/>
        </w:rPr>
      </w:pPr>
    </w:p>
    <w:p w:rsidR="00F23110" w:rsidRPr="000057EC" w:rsidRDefault="00F23110" w:rsidP="00F23110">
      <w:pPr>
        <w:widowControl w:val="0"/>
        <w:suppressAutoHyphens/>
        <w:spacing w:line="240" w:lineRule="auto"/>
        <w:rPr>
          <w:rFonts w:ascii="Times New Roman" w:hAnsi="Times New Roman" w:cs="Times New Roman"/>
        </w:rPr>
      </w:pPr>
      <w:r w:rsidRPr="000057EC">
        <w:rPr>
          <w:rFonts w:ascii="Times New Roman" w:hAnsi="Times New Roman" w:cs="Times New Roman"/>
        </w:rPr>
        <w:t xml:space="preserve">En el mismo sentido se anexa en la última página la tabla correspondiente con los avances que se han ido gestionando por parte de la </w:t>
      </w:r>
      <w:r w:rsidR="00E03A45" w:rsidRPr="000057EC">
        <w:rPr>
          <w:rFonts w:ascii="Times New Roman" w:hAnsi="Times New Roman" w:cs="Times New Roman"/>
        </w:rPr>
        <w:t>Comisión</w:t>
      </w:r>
      <w:r w:rsidRPr="000057EC">
        <w:rPr>
          <w:rFonts w:ascii="Times New Roman" w:hAnsi="Times New Roman" w:cs="Times New Roman"/>
        </w:rPr>
        <w:t xml:space="preserve"> Edilicia de Asuntos Metropolitanos.</w:t>
      </w:r>
    </w:p>
    <w:p w:rsidR="00F23110" w:rsidRDefault="00F23110"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9B365D" w:rsidRDefault="009B365D" w:rsidP="00F23110">
      <w:pPr>
        <w:widowControl w:val="0"/>
        <w:suppressAutoHyphens/>
        <w:spacing w:line="240" w:lineRule="auto"/>
        <w:rPr>
          <w:rFonts w:ascii="Times New Roman" w:hAnsi="Times New Roman" w:cs="Times New Roman"/>
          <w:sz w:val="28"/>
        </w:rPr>
      </w:pPr>
    </w:p>
    <w:p w:rsidR="00F23110" w:rsidRDefault="00F23110" w:rsidP="00F23110">
      <w:pPr>
        <w:widowControl w:val="0"/>
        <w:suppressAutoHyphens/>
        <w:spacing w:line="240" w:lineRule="auto"/>
        <w:rPr>
          <w:rFonts w:ascii="Times New Roman" w:hAnsi="Times New Roman" w:cs="Times New Roman"/>
          <w:sz w:val="28"/>
        </w:rPr>
      </w:pPr>
    </w:p>
    <w:tbl>
      <w:tblPr>
        <w:tblStyle w:val="Tablaconcuadrcula"/>
        <w:tblW w:w="5000" w:type="pct"/>
        <w:tblLook w:val="04A0" w:firstRow="1" w:lastRow="0" w:firstColumn="1" w:lastColumn="0" w:noHBand="0" w:noVBand="1"/>
      </w:tblPr>
      <w:tblGrid>
        <w:gridCol w:w="1750"/>
        <w:gridCol w:w="625"/>
        <w:gridCol w:w="629"/>
        <w:gridCol w:w="566"/>
        <w:gridCol w:w="612"/>
        <w:gridCol w:w="599"/>
        <w:gridCol w:w="668"/>
        <w:gridCol w:w="622"/>
        <w:gridCol w:w="652"/>
        <w:gridCol w:w="599"/>
        <w:gridCol w:w="583"/>
        <w:gridCol w:w="638"/>
        <w:gridCol w:w="583"/>
        <w:gridCol w:w="645"/>
        <w:gridCol w:w="1876"/>
        <w:gridCol w:w="2287"/>
        <w:gridCol w:w="839"/>
        <w:gridCol w:w="1682"/>
      </w:tblGrid>
      <w:tr w:rsidR="00C8427B" w:rsidRPr="00F23110" w:rsidTr="00E03A45">
        <w:trPr>
          <w:trHeight w:val="95"/>
          <w:tblHeader/>
        </w:trPr>
        <w:tc>
          <w:tcPr>
            <w:tcW w:w="532" w:type="pct"/>
            <w:vMerge w:val="restart"/>
            <w:shd w:val="clear" w:color="auto" w:fill="E36C0A" w:themeFill="accent6" w:themeFillShade="BF"/>
          </w:tcPr>
          <w:p w:rsidR="00AB3016" w:rsidRDefault="00AB3016" w:rsidP="00FD4F49">
            <w:pPr>
              <w:jc w:val="center"/>
              <w:rPr>
                <w:rFonts w:ascii="Times New Roman" w:hAnsi="Times New Roman" w:cs="Times New Roman"/>
                <w:b/>
                <w:sz w:val="18"/>
                <w:szCs w:val="18"/>
              </w:rPr>
            </w:pPr>
          </w:p>
          <w:p w:rsidR="00F23110" w:rsidRPr="00F23110" w:rsidRDefault="00F23110" w:rsidP="00FD4F49">
            <w:pPr>
              <w:jc w:val="center"/>
              <w:rPr>
                <w:rFonts w:ascii="Times New Roman" w:hAnsi="Times New Roman" w:cs="Times New Roman"/>
                <w:b/>
                <w:sz w:val="18"/>
                <w:szCs w:val="18"/>
              </w:rPr>
            </w:pPr>
          </w:p>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ACCIÓN</w:t>
            </w:r>
          </w:p>
          <w:p w:rsidR="00AB3016" w:rsidRPr="00F23110" w:rsidRDefault="00AB3016" w:rsidP="00FD4F49">
            <w:pPr>
              <w:jc w:val="center"/>
              <w:rPr>
                <w:rFonts w:ascii="Times New Roman" w:hAnsi="Times New Roman" w:cs="Times New Roman"/>
                <w:b/>
                <w:sz w:val="18"/>
                <w:szCs w:val="18"/>
              </w:rPr>
            </w:pPr>
          </w:p>
        </w:tc>
        <w:tc>
          <w:tcPr>
            <w:tcW w:w="553" w:type="pct"/>
            <w:gridSpan w:val="3"/>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2018</w:t>
            </w:r>
          </w:p>
        </w:tc>
        <w:tc>
          <w:tcPr>
            <w:tcW w:w="1884" w:type="pct"/>
            <w:gridSpan w:val="10"/>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2019</w:t>
            </w:r>
          </w:p>
        </w:tc>
        <w:tc>
          <w:tcPr>
            <w:tcW w:w="570"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 xml:space="preserve"> </w:t>
            </w: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INDICADOR</w:t>
            </w:r>
          </w:p>
        </w:tc>
        <w:tc>
          <w:tcPr>
            <w:tcW w:w="695"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META ANUAL</w:t>
            </w:r>
          </w:p>
        </w:tc>
        <w:tc>
          <w:tcPr>
            <w:tcW w:w="255"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 xml:space="preserve">LÍNEA BASE </w:t>
            </w:r>
          </w:p>
        </w:tc>
        <w:tc>
          <w:tcPr>
            <w:tcW w:w="512" w:type="pct"/>
            <w:vMerge w:val="restart"/>
            <w:shd w:val="clear" w:color="auto" w:fill="E36C0A" w:themeFill="accent6" w:themeFillShade="BF"/>
          </w:tcPr>
          <w:p w:rsidR="00AB3016" w:rsidRPr="00F23110" w:rsidRDefault="00AB3016" w:rsidP="00FD4F49">
            <w:pPr>
              <w:rPr>
                <w:rFonts w:ascii="Times New Roman" w:hAnsi="Times New Roman" w:cs="Times New Roman"/>
                <w:b/>
                <w:sz w:val="18"/>
                <w:szCs w:val="18"/>
              </w:rPr>
            </w:pPr>
            <w:r w:rsidRPr="00F23110">
              <w:rPr>
                <w:rFonts w:ascii="Times New Roman" w:hAnsi="Times New Roman" w:cs="Times New Roman"/>
                <w:b/>
                <w:sz w:val="18"/>
                <w:szCs w:val="18"/>
              </w:rPr>
              <w:t>RESULTADOS</w:t>
            </w:r>
          </w:p>
        </w:tc>
      </w:tr>
      <w:tr w:rsidR="00F23110" w:rsidRPr="00F23110" w:rsidTr="00E03A45">
        <w:trPr>
          <w:tblHeader/>
        </w:trPr>
        <w:tc>
          <w:tcPr>
            <w:tcW w:w="532" w:type="pct"/>
            <w:vMerge/>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p>
        </w:tc>
        <w:tc>
          <w:tcPr>
            <w:tcW w:w="190" w:type="pct"/>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OCT</w:t>
            </w:r>
          </w:p>
        </w:tc>
        <w:tc>
          <w:tcPr>
            <w:tcW w:w="191" w:type="pct"/>
            <w:shd w:val="clear" w:color="auto" w:fill="FDE9D9" w:themeFill="accent6" w:themeFillTint="33"/>
          </w:tcPr>
          <w:p w:rsidR="00AB3016" w:rsidRPr="00F23110" w:rsidRDefault="00AB3016" w:rsidP="00FD4F49">
            <w:pPr>
              <w:rPr>
                <w:rFonts w:ascii="Times New Roman" w:hAnsi="Times New Roman" w:cs="Times New Roman"/>
                <w:b/>
                <w:sz w:val="18"/>
                <w:szCs w:val="18"/>
              </w:rPr>
            </w:pPr>
            <w:r w:rsidRPr="00F23110">
              <w:rPr>
                <w:rFonts w:ascii="Times New Roman" w:hAnsi="Times New Roman" w:cs="Times New Roman"/>
                <w:b/>
                <w:sz w:val="18"/>
                <w:szCs w:val="18"/>
              </w:rPr>
              <w:t>NOV</w:t>
            </w:r>
          </w:p>
        </w:tc>
        <w:tc>
          <w:tcPr>
            <w:tcW w:w="171" w:type="pct"/>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DIC</w:t>
            </w:r>
          </w:p>
        </w:tc>
        <w:tc>
          <w:tcPr>
            <w:tcW w:w="186"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ENE</w:t>
            </w:r>
          </w:p>
        </w:tc>
        <w:tc>
          <w:tcPr>
            <w:tcW w:w="182"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FEB</w:t>
            </w:r>
          </w:p>
        </w:tc>
        <w:tc>
          <w:tcPr>
            <w:tcW w:w="203"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MAR</w:t>
            </w:r>
          </w:p>
        </w:tc>
        <w:tc>
          <w:tcPr>
            <w:tcW w:w="189"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ABR</w:t>
            </w:r>
          </w:p>
        </w:tc>
        <w:tc>
          <w:tcPr>
            <w:tcW w:w="198"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proofErr w:type="spellStart"/>
            <w:r w:rsidRPr="00F23110">
              <w:rPr>
                <w:rFonts w:ascii="Times New Roman" w:hAnsi="Times New Roman" w:cs="Times New Roman"/>
                <w:b/>
                <w:sz w:val="18"/>
                <w:szCs w:val="18"/>
              </w:rPr>
              <w:t>MAY</w:t>
            </w:r>
            <w:proofErr w:type="spellEnd"/>
          </w:p>
        </w:tc>
        <w:tc>
          <w:tcPr>
            <w:tcW w:w="182"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JUN</w:t>
            </w:r>
          </w:p>
        </w:tc>
        <w:tc>
          <w:tcPr>
            <w:tcW w:w="177"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JUL</w:t>
            </w:r>
          </w:p>
        </w:tc>
        <w:tc>
          <w:tcPr>
            <w:tcW w:w="194"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proofErr w:type="spellStart"/>
            <w:r w:rsidRPr="00F23110">
              <w:rPr>
                <w:rFonts w:ascii="Times New Roman" w:hAnsi="Times New Roman" w:cs="Times New Roman"/>
                <w:b/>
                <w:sz w:val="18"/>
                <w:szCs w:val="18"/>
              </w:rPr>
              <w:t>AGO</w:t>
            </w:r>
            <w:proofErr w:type="spellEnd"/>
          </w:p>
        </w:tc>
        <w:tc>
          <w:tcPr>
            <w:tcW w:w="177"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proofErr w:type="spellStart"/>
            <w:r w:rsidRPr="00F23110">
              <w:rPr>
                <w:rFonts w:ascii="Times New Roman" w:hAnsi="Times New Roman" w:cs="Times New Roman"/>
                <w:b/>
                <w:sz w:val="18"/>
                <w:szCs w:val="18"/>
              </w:rPr>
              <w:t>SEP</w:t>
            </w:r>
            <w:proofErr w:type="spellEnd"/>
          </w:p>
        </w:tc>
        <w:tc>
          <w:tcPr>
            <w:tcW w:w="194"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OCT</w:t>
            </w:r>
          </w:p>
        </w:tc>
        <w:tc>
          <w:tcPr>
            <w:tcW w:w="570"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695"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255"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512"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r>
      <w:tr w:rsidR="00E03A45"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Sesión ordinaria de la Comisión </w:t>
            </w:r>
          </w:p>
        </w:tc>
        <w:tc>
          <w:tcPr>
            <w:tcW w:w="190" w:type="pct"/>
            <w:shd w:val="clear" w:color="auto" w:fill="FFC000"/>
          </w:tcPr>
          <w:p w:rsidR="00C767E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1</w:t>
            </w:r>
          </w:p>
          <w:p w:rsidR="00AB3016" w:rsidRPr="00F23110" w:rsidRDefault="00911DC3" w:rsidP="00FD4F49">
            <w:pPr>
              <w:jc w:val="center"/>
              <w:rPr>
                <w:rFonts w:ascii="Times New Roman" w:hAnsi="Times New Roman" w:cs="Times New Roman"/>
                <w:sz w:val="18"/>
                <w:szCs w:val="18"/>
              </w:rPr>
            </w:pPr>
            <w:r w:rsidRPr="00F23110">
              <w:rPr>
                <w:rFonts w:ascii="Times New Roman" w:hAnsi="Times New Roman" w:cs="Times New Roman"/>
                <w:sz w:val="18"/>
                <w:szCs w:val="18"/>
              </w:rPr>
              <w:t>*</w:t>
            </w:r>
          </w:p>
        </w:tc>
        <w:tc>
          <w:tcPr>
            <w:tcW w:w="191" w:type="pct"/>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2</w:t>
            </w:r>
          </w:p>
        </w:tc>
        <w:tc>
          <w:tcPr>
            <w:tcW w:w="186" w:type="pct"/>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3</w:t>
            </w:r>
          </w:p>
        </w:tc>
        <w:tc>
          <w:tcPr>
            <w:tcW w:w="203" w:type="pct"/>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4</w:t>
            </w:r>
          </w:p>
        </w:tc>
        <w:tc>
          <w:tcPr>
            <w:tcW w:w="198" w:type="pct"/>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5</w:t>
            </w:r>
          </w:p>
        </w:tc>
        <w:tc>
          <w:tcPr>
            <w:tcW w:w="177" w:type="pct"/>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6</w:t>
            </w:r>
          </w:p>
        </w:tc>
        <w:tc>
          <w:tcPr>
            <w:tcW w:w="177" w:type="pct"/>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7</w:t>
            </w: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SESIONES REALIZADAS/ NÚMERO DE SESIONES PROGRAMADAS</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(1 SESIÓN BIMESTRAL)</w:t>
            </w:r>
          </w:p>
          <w:p w:rsidR="00AB3016" w:rsidRPr="00F23110" w:rsidRDefault="00AB3016"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 xml:space="preserve">7 SESIONES </w:t>
            </w:r>
          </w:p>
        </w:tc>
        <w:tc>
          <w:tcPr>
            <w:tcW w:w="255" w:type="pct"/>
          </w:tcPr>
          <w:p w:rsidR="00AB3016" w:rsidRPr="00F23110" w:rsidRDefault="00AB3016" w:rsidP="00FD4F49">
            <w:pPr>
              <w:jc w:val="center"/>
              <w:rPr>
                <w:rFonts w:ascii="Times New Roman" w:hAnsi="Times New Roman" w:cs="Times New Roman"/>
                <w:sz w:val="18"/>
                <w:szCs w:val="18"/>
              </w:rPr>
            </w:pPr>
          </w:p>
          <w:p w:rsidR="00AB3016" w:rsidRPr="00F23110" w:rsidRDefault="00F23110" w:rsidP="00FD4F49">
            <w:pPr>
              <w:jc w:val="center"/>
              <w:rPr>
                <w:rFonts w:ascii="Times New Roman" w:hAnsi="Times New Roman" w:cs="Times New Roman"/>
                <w:sz w:val="18"/>
                <w:szCs w:val="18"/>
              </w:rPr>
            </w:pPr>
            <w:r w:rsidRPr="00F23110">
              <w:rPr>
                <w:rFonts w:ascii="Times New Roman" w:hAnsi="Times New Roman" w:cs="Times New Roman"/>
                <w:sz w:val="18"/>
                <w:szCs w:val="18"/>
              </w:rPr>
              <w:t>2</w:t>
            </w:r>
            <w:r w:rsidR="00AB3016" w:rsidRPr="00F23110">
              <w:rPr>
                <w:rFonts w:ascii="Times New Roman" w:hAnsi="Times New Roman" w:cs="Times New Roman"/>
                <w:sz w:val="18"/>
                <w:szCs w:val="18"/>
              </w:rPr>
              <w:t>/7</w:t>
            </w:r>
          </w:p>
        </w:tc>
        <w:tc>
          <w:tcPr>
            <w:tcW w:w="512" w:type="pct"/>
          </w:tcPr>
          <w:p w:rsidR="00AB3016" w:rsidRPr="00F23110" w:rsidRDefault="00AB3016" w:rsidP="00FD4F49">
            <w:pPr>
              <w:jc w:val="center"/>
              <w:rPr>
                <w:rFonts w:ascii="Times New Roman" w:hAnsi="Times New Roman" w:cs="Times New Roman"/>
                <w:sz w:val="18"/>
                <w:szCs w:val="18"/>
              </w:rPr>
            </w:pPr>
          </w:p>
        </w:tc>
      </w:tr>
      <w:tr w:rsidR="00E03A45"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Análisis de </w:t>
            </w:r>
            <w:r w:rsidR="00F15216" w:rsidRPr="00F23110">
              <w:rPr>
                <w:rFonts w:ascii="Times New Roman" w:hAnsi="Times New Roman" w:cs="Times New Roman"/>
                <w:sz w:val="18"/>
                <w:szCs w:val="18"/>
              </w:rPr>
              <w:t xml:space="preserve">la </w:t>
            </w:r>
            <w:r w:rsidRPr="00F23110">
              <w:rPr>
                <w:rFonts w:ascii="Times New Roman" w:hAnsi="Times New Roman" w:cs="Times New Roman"/>
                <w:sz w:val="18"/>
                <w:szCs w:val="18"/>
              </w:rPr>
              <w:t>reglamentación municipal para e</w:t>
            </w:r>
            <w:r w:rsidR="00863612" w:rsidRPr="00F23110">
              <w:rPr>
                <w:rFonts w:ascii="Times New Roman" w:hAnsi="Times New Roman" w:cs="Times New Roman"/>
                <w:sz w:val="18"/>
                <w:szCs w:val="18"/>
              </w:rPr>
              <w:t xml:space="preserve">valuar </w:t>
            </w:r>
            <w:r w:rsidR="00F15216" w:rsidRPr="00F23110">
              <w:rPr>
                <w:rFonts w:ascii="Times New Roman" w:hAnsi="Times New Roman" w:cs="Times New Roman"/>
                <w:sz w:val="18"/>
                <w:szCs w:val="18"/>
              </w:rPr>
              <w:t xml:space="preserve">su </w:t>
            </w:r>
            <w:r w:rsidR="00863612" w:rsidRPr="00F23110">
              <w:rPr>
                <w:rFonts w:ascii="Times New Roman" w:hAnsi="Times New Roman" w:cs="Times New Roman"/>
                <w:sz w:val="18"/>
                <w:szCs w:val="18"/>
              </w:rPr>
              <w:t xml:space="preserve">eficacia </w:t>
            </w:r>
            <w:r w:rsidR="00F15216" w:rsidRPr="00F23110">
              <w:rPr>
                <w:rFonts w:ascii="Times New Roman" w:hAnsi="Times New Roman" w:cs="Times New Roman"/>
                <w:sz w:val="18"/>
                <w:szCs w:val="18"/>
              </w:rPr>
              <w:t xml:space="preserve">y </w:t>
            </w:r>
            <w:r w:rsidR="00863612" w:rsidRPr="00F23110">
              <w:rPr>
                <w:rFonts w:ascii="Times New Roman" w:hAnsi="Times New Roman" w:cs="Times New Roman"/>
                <w:sz w:val="18"/>
                <w:szCs w:val="18"/>
              </w:rPr>
              <w:t xml:space="preserve">actualización </w:t>
            </w:r>
            <w:r w:rsidRPr="00F23110">
              <w:rPr>
                <w:rFonts w:ascii="Times New Roman" w:hAnsi="Times New Roman" w:cs="Times New Roman"/>
                <w:sz w:val="18"/>
                <w:szCs w:val="18"/>
              </w:rPr>
              <w:t xml:space="preserve">normativa. </w:t>
            </w:r>
          </w:p>
        </w:tc>
        <w:tc>
          <w:tcPr>
            <w:tcW w:w="190" w:type="pct"/>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1" w:type="pct"/>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reglamentos analizados</w:t>
            </w:r>
          </w:p>
        </w:tc>
        <w:tc>
          <w:tcPr>
            <w:tcW w:w="695" w:type="pct"/>
          </w:tcPr>
          <w:p w:rsidR="00AB3016" w:rsidRPr="00F23110" w:rsidRDefault="00AB3016" w:rsidP="00C8427B">
            <w:pPr>
              <w:rPr>
                <w:rFonts w:ascii="Times New Roman" w:hAnsi="Times New Roman" w:cs="Times New Roman"/>
                <w:sz w:val="18"/>
                <w:szCs w:val="18"/>
              </w:rPr>
            </w:pPr>
            <w:r w:rsidRPr="00F23110">
              <w:rPr>
                <w:rFonts w:ascii="Times New Roman" w:hAnsi="Times New Roman" w:cs="Times New Roman"/>
                <w:sz w:val="18"/>
                <w:szCs w:val="18"/>
              </w:rPr>
              <w:t xml:space="preserve">Reglamentos relacionados con </w:t>
            </w:r>
            <w:r w:rsidR="00F15216" w:rsidRPr="00F23110">
              <w:rPr>
                <w:rFonts w:ascii="Times New Roman" w:hAnsi="Times New Roman" w:cs="Times New Roman"/>
                <w:sz w:val="18"/>
                <w:szCs w:val="18"/>
              </w:rPr>
              <w:t>asuntos metropolitanos</w:t>
            </w:r>
            <w:r w:rsidR="00C8427B" w:rsidRPr="00F23110">
              <w:rPr>
                <w:rFonts w:ascii="Times New Roman" w:hAnsi="Times New Roman" w:cs="Times New Roman"/>
                <w:sz w:val="18"/>
                <w:szCs w:val="18"/>
              </w:rPr>
              <w:t>/Reglamentos actualizados.</w:t>
            </w:r>
          </w:p>
        </w:tc>
        <w:tc>
          <w:tcPr>
            <w:tcW w:w="25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0/x</w:t>
            </w:r>
          </w:p>
        </w:tc>
        <w:tc>
          <w:tcPr>
            <w:tcW w:w="512" w:type="pct"/>
          </w:tcPr>
          <w:p w:rsidR="00AB3016" w:rsidRPr="00F23110" w:rsidRDefault="00AB3016" w:rsidP="00FD4F49">
            <w:pPr>
              <w:jc w:val="center"/>
              <w:rPr>
                <w:rFonts w:ascii="Times New Roman" w:hAnsi="Times New Roman" w:cs="Times New Roman"/>
                <w:sz w:val="18"/>
                <w:szCs w:val="18"/>
              </w:rPr>
            </w:pPr>
          </w:p>
        </w:tc>
      </w:tr>
      <w:tr w:rsidR="00F23110"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Realización de iniciativas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iniciativas presentadas</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3</w:t>
            </w:r>
          </w:p>
        </w:tc>
        <w:tc>
          <w:tcPr>
            <w:tcW w:w="25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0/3</w:t>
            </w:r>
          </w:p>
        </w:tc>
        <w:tc>
          <w:tcPr>
            <w:tcW w:w="512" w:type="pct"/>
          </w:tcPr>
          <w:p w:rsidR="00AB3016" w:rsidRPr="00F23110" w:rsidRDefault="00AB3016" w:rsidP="00FD4F49">
            <w:pPr>
              <w:jc w:val="center"/>
              <w:rPr>
                <w:rFonts w:ascii="Times New Roman" w:hAnsi="Times New Roman" w:cs="Times New Roman"/>
                <w:sz w:val="18"/>
                <w:szCs w:val="18"/>
              </w:rPr>
            </w:pPr>
          </w:p>
        </w:tc>
      </w:tr>
      <w:tr w:rsidR="00E03A45"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Integración de diagnóstico </w:t>
            </w:r>
            <w:r w:rsidR="00D453A5" w:rsidRPr="00F23110">
              <w:rPr>
                <w:rFonts w:ascii="Times New Roman" w:hAnsi="Times New Roman" w:cs="Times New Roman"/>
                <w:sz w:val="18"/>
                <w:szCs w:val="18"/>
              </w:rPr>
              <w:t>metropolitano.</w:t>
            </w:r>
          </w:p>
        </w:tc>
        <w:tc>
          <w:tcPr>
            <w:tcW w:w="190"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1"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203"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9"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8"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auto"/>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C8427B" w:rsidP="00FD4F49">
            <w:pPr>
              <w:jc w:val="center"/>
              <w:rPr>
                <w:rFonts w:ascii="Times New Roman" w:hAnsi="Times New Roman" w:cs="Times New Roman"/>
                <w:sz w:val="18"/>
                <w:szCs w:val="18"/>
              </w:rPr>
            </w:pPr>
            <w:r w:rsidRPr="00F23110">
              <w:rPr>
                <w:rFonts w:ascii="Times New Roman" w:hAnsi="Times New Roman" w:cs="Times New Roman"/>
                <w:sz w:val="18"/>
                <w:szCs w:val="18"/>
              </w:rPr>
              <w:t>1 diagnóstico</w:t>
            </w:r>
          </w:p>
        </w:tc>
        <w:tc>
          <w:tcPr>
            <w:tcW w:w="695" w:type="pct"/>
          </w:tcPr>
          <w:p w:rsidR="00AB3016" w:rsidRPr="00F23110" w:rsidRDefault="00C8427B" w:rsidP="00FD4F49">
            <w:pPr>
              <w:jc w:val="center"/>
              <w:rPr>
                <w:rFonts w:ascii="Times New Roman" w:hAnsi="Times New Roman" w:cs="Times New Roman"/>
                <w:sz w:val="18"/>
                <w:szCs w:val="18"/>
              </w:rPr>
            </w:pPr>
            <w:r w:rsidRPr="00F23110">
              <w:rPr>
                <w:rFonts w:ascii="Times New Roman" w:hAnsi="Times New Roman" w:cs="Times New Roman"/>
                <w:sz w:val="18"/>
                <w:szCs w:val="18"/>
              </w:rPr>
              <w:t>1 diagnóstico</w:t>
            </w:r>
          </w:p>
        </w:tc>
        <w:tc>
          <w:tcPr>
            <w:tcW w:w="255" w:type="pct"/>
          </w:tcPr>
          <w:p w:rsidR="00AB3016" w:rsidRPr="00F23110" w:rsidRDefault="00C8427B"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2" w:type="pct"/>
          </w:tcPr>
          <w:p w:rsidR="00AB3016" w:rsidRPr="00F23110" w:rsidRDefault="00F23110" w:rsidP="00FD4F49">
            <w:pPr>
              <w:jc w:val="center"/>
              <w:rPr>
                <w:rFonts w:ascii="Times New Roman" w:hAnsi="Times New Roman" w:cs="Times New Roman"/>
                <w:sz w:val="18"/>
                <w:szCs w:val="18"/>
              </w:rPr>
            </w:pPr>
            <w:r>
              <w:rPr>
                <w:rFonts w:ascii="Times New Roman" w:hAnsi="Times New Roman" w:cs="Times New Roman"/>
                <w:sz w:val="18"/>
                <w:szCs w:val="18"/>
              </w:rPr>
              <w:t xml:space="preserve">Se solicitó diagnostico a la Dirección General de Políticas Públicas mediante oficio: </w:t>
            </w:r>
            <w:r w:rsidR="00A26498">
              <w:rPr>
                <w:rFonts w:ascii="Times New Roman" w:hAnsi="Times New Roman" w:cs="Times New Roman"/>
                <w:sz w:val="18"/>
                <w:szCs w:val="18"/>
              </w:rPr>
              <w:t>028/2018.</w:t>
            </w:r>
          </w:p>
        </w:tc>
      </w:tr>
      <w:tr w:rsidR="00F23110"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Análisis y dictaminación de turnos como responsables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turnos para estudio</w:t>
            </w:r>
            <w:r w:rsidR="004B6EF0" w:rsidRPr="00F23110">
              <w:rPr>
                <w:rFonts w:ascii="Times New Roman" w:hAnsi="Times New Roman" w:cs="Times New Roman"/>
                <w:sz w:val="18"/>
                <w:szCs w:val="18"/>
              </w:rPr>
              <w:t>/ Número de turnos dictaminados</w:t>
            </w:r>
          </w:p>
        </w:tc>
        <w:tc>
          <w:tcPr>
            <w:tcW w:w="695" w:type="pct"/>
          </w:tcPr>
          <w:p w:rsidR="00AB3016" w:rsidRPr="00F23110" w:rsidRDefault="004B6EF0" w:rsidP="004B6EF0">
            <w:pPr>
              <w:jc w:val="center"/>
              <w:rPr>
                <w:rFonts w:ascii="Times New Roman" w:hAnsi="Times New Roman" w:cs="Times New Roman"/>
                <w:sz w:val="18"/>
                <w:szCs w:val="18"/>
              </w:rPr>
            </w:pPr>
            <w:r w:rsidRPr="00F23110">
              <w:rPr>
                <w:rFonts w:ascii="Times New Roman" w:hAnsi="Times New Roman" w:cs="Times New Roman"/>
                <w:sz w:val="18"/>
                <w:szCs w:val="18"/>
              </w:rPr>
              <w:t>100%</w:t>
            </w:r>
          </w:p>
        </w:tc>
        <w:tc>
          <w:tcPr>
            <w:tcW w:w="25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2" w:type="pct"/>
          </w:tcPr>
          <w:p w:rsidR="00AB3016" w:rsidRPr="00F23110" w:rsidRDefault="00AB3016" w:rsidP="00FD4F49">
            <w:pPr>
              <w:jc w:val="center"/>
              <w:rPr>
                <w:rFonts w:ascii="Times New Roman" w:hAnsi="Times New Roman" w:cs="Times New Roman"/>
                <w:sz w:val="18"/>
                <w:szCs w:val="18"/>
              </w:rPr>
            </w:pPr>
          </w:p>
        </w:tc>
      </w:tr>
      <w:tr w:rsidR="00F23110"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Análisis y dictaminación de turnos como coadyuvantes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turnos para estudio</w:t>
            </w:r>
            <w:r w:rsidR="004B6EF0" w:rsidRPr="00F23110">
              <w:rPr>
                <w:rFonts w:ascii="Times New Roman" w:hAnsi="Times New Roman" w:cs="Times New Roman"/>
                <w:sz w:val="18"/>
                <w:szCs w:val="18"/>
              </w:rPr>
              <w:t>/ Número de turnos dictaminados</w:t>
            </w:r>
          </w:p>
        </w:tc>
        <w:tc>
          <w:tcPr>
            <w:tcW w:w="69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100%</w:t>
            </w:r>
          </w:p>
        </w:tc>
        <w:tc>
          <w:tcPr>
            <w:tcW w:w="25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2" w:type="pct"/>
          </w:tcPr>
          <w:p w:rsidR="00AB3016" w:rsidRPr="00F23110" w:rsidRDefault="00AB3016" w:rsidP="00FD4F49">
            <w:pPr>
              <w:jc w:val="center"/>
              <w:rPr>
                <w:rFonts w:ascii="Times New Roman" w:hAnsi="Times New Roman" w:cs="Times New Roman"/>
                <w:sz w:val="18"/>
                <w:szCs w:val="18"/>
              </w:rPr>
            </w:pPr>
          </w:p>
        </w:tc>
      </w:tr>
      <w:tr w:rsidR="00F23110"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Presentación de informes trimestrales</w:t>
            </w:r>
          </w:p>
        </w:tc>
        <w:tc>
          <w:tcPr>
            <w:tcW w:w="190"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1"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82"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8"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4"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rPr>
                <w:rFonts w:ascii="Times New Roman" w:hAnsi="Times New Roman" w:cs="Times New Roman"/>
                <w:sz w:val="18"/>
                <w:szCs w:val="18"/>
              </w:rPr>
            </w:pPr>
            <w:r w:rsidRPr="00F23110">
              <w:rPr>
                <w:rFonts w:ascii="Times New Roman" w:hAnsi="Times New Roman" w:cs="Times New Roman"/>
                <w:sz w:val="18"/>
                <w:szCs w:val="18"/>
              </w:rPr>
              <w:t>Número de informes trimestrales</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4</w:t>
            </w:r>
          </w:p>
        </w:tc>
        <w:tc>
          <w:tcPr>
            <w:tcW w:w="255" w:type="pct"/>
          </w:tcPr>
          <w:p w:rsidR="00AB3016" w:rsidRPr="00F23110" w:rsidRDefault="00F23110" w:rsidP="00FD4F49">
            <w:pPr>
              <w:jc w:val="center"/>
              <w:rPr>
                <w:rFonts w:ascii="Times New Roman" w:hAnsi="Times New Roman" w:cs="Times New Roman"/>
                <w:sz w:val="18"/>
                <w:szCs w:val="18"/>
              </w:rPr>
            </w:pPr>
            <w:r w:rsidRPr="00F23110">
              <w:rPr>
                <w:rFonts w:ascii="Times New Roman" w:hAnsi="Times New Roman" w:cs="Times New Roman"/>
                <w:sz w:val="18"/>
                <w:szCs w:val="18"/>
              </w:rPr>
              <w:t>1</w:t>
            </w:r>
            <w:r w:rsidR="00AB3016" w:rsidRPr="00F23110">
              <w:rPr>
                <w:rFonts w:ascii="Times New Roman" w:hAnsi="Times New Roman" w:cs="Times New Roman"/>
                <w:sz w:val="18"/>
                <w:szCs w:val="18"/>
              </w:rPr>
              <w:t>/4</w:t>
            </w:r>
          </w:p>
        </w:tc>
        <w:tc>
          <w:tcPr>
            <w:tcW w:w="512" w:type="pct"/>
          </w:tcPr>
          <w:p w:rsidR="00AB3016" w:rsidRPr="00F23110" w:rsidRDefault="00AB3016" w:rsidP="00FD4F49">
            <w:pPr>
              <w:jc w:val="center"/>
              <w:rPr>
                <w:rFonts w:ascii="Times New Roman" w:hAnsi="Times New Roman" w:cs="Times New Roman"/>
                <w:sz w:val="18"/>
                <w:szCs w:val="18"/>
              </w:rPr>
            </w:pPr>
          </w:p>
        </w:tc>
      </w:tr>
      <w:tr w:rsidR="00E03A45"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Informe anual</w:t>
            </w:r>
          </w:p>
        </w:tc>
        <w:tc>
          <w:tcPr>
            <w:tcW w:w="190"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1"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1"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6"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203"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9"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8"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Informe anual</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1</w:t>
            </w:r>
          </w:p>
        </w:tc>
        <w:tc>
          <w:tcPr>
            <w:tcW w:w="25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2" w:type="pct"/>
          </w:tcPr>
          <w:p w:rsidR="00AB3016" w:rsidRPr="00F23110" w:rsidRDefault="00AB3016" w:rsidP="00FD4F49">
            <w:pPr>
              <w:jc w:val="center"/>
              <w:rPr>
                <w:rFonts w:ascii="Times New Roman" w:hAnsi="Times New Roman" w:cs="Times New Roman"/>
                <w:sz w:val="18"/>
                <w:szCs w:val="18"/>
              </w:rPr>
            </w:pPr>
          </w:p>
        </w:tc>
      </w:tr>
      <w:tr w:rsidR="00F23110" w:rsidRPr="00F23110" w:rsidTr="00E03A45">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Sesiones extraordinarias de la Comisión de </w:t>
            </w:r>
            <w:r w:rsidR="00D453A5" w:rsidRPr="00F23110">
              <w:rPr>
                <w:rFonts w:ascii="Times New Roman" w:hAnsi="Times New Roman" w:cs="Times New Roman"/>
                <w:sz w:val="18"/>
                <w:szCs w:val="18"/>
              </w:rPr>
              <w:t>Asuntos Metropolitanos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sesiones extraordinarias</w:t>
            </w:r>
          </w:p>
        </w:tc>
        <w:tc>
          <w:tcPr>
            <w:tcW w:w="69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S/N</w:t>
            </w:r>
            <w:r w:rsidRPr="00F23110">
              <w:rPr>
                <w:rStyle w:val="Refdenotaalpie"/>
                <w:rFonts w:ascii="Times New Roman" w:hAnsi="Times New Roman" w:cs="Times New Roman"/>
                <w:sz w:val="18"/>
                <w:szCs w:val="18"/>
              </w:rPr>
              <w:footnoteReference w:id="1"/>
            </w:r>
          </w:p>
        </w:tc>
        <w:tc>
          <w:tcPr>
            <w:tcW w:w="25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2" w:type="pct"/>
          </w:tcPr>
          <w:p w:rsidR="00AB3016" w:rsidRPr="00F23110" w:rsidRDefault="00AB3016" w:rsidP="00FD4F49">
            <w:pPr>
              <w:jc w:val="center"/>
              <w:rPr>
                <w:rFonts w:ascii="Times New Roman" w:hAnsi="Times New Roman" w:cs="Times New Roman"/>
                <w:sz w:val="18"/>
                <w:szCs w:val="18"/>
              </w:rPr>
            </w:pPr>
          </w:p>
        </w:tc>
      </w:tr>
    </w:tbl>
    <w:p w:rsidR="00C8427B" w:rsidRPr="00F23110" w:rsidRDefault="00C8427B" w:rsidP="00F23110">
      <w:pPr>
        <w:rPr>
          <w:rFonts w:ascii="Times New Roman" w:hAnsi="Times New Roman" w:cs="Times New Roman"/>
          <w:szCs w:val="24"/>
        </w:rPr>
      </w:pPr>
    </w:p>
    <w:sectPr w:rsidR="00C8427B" w:rsidRPr="00F23110" w:rsidSect="00E03A45">
      <w:headerReference w:type="default" r:id="rId8"/>
      <w:footerReference w:type="default" r:id="rId9"/>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B2" w:rsidRDefault="006A3CB2" w:rsidP="00AB3016">
      <w:pPr>
        <w:spacing w:line="240" w:lineRule="auto"/>
      </w:pPr>
      <w:r>
        <w:separator/>
      </w:r>
    </w:p>
  </w:endnote>
  <w:endnote w:type="continuationSeparator" w:id="0">
    <w:p w:rsidR="006A3CB2" w:rsidRDefault="006A3CB2"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30719"/>
      <w:docPartObj>
        <w:docPartGallery w:val="Page Numbers (Bottom of Page)"/>
        <w:docPartUnique/>
      </w:docPartObj>
    </w:sdtPr>
    <w:sdtEndPr/>
    <w:sdtContent>
      <w:p w:rsidR="00CF232F" w:rsidRDefault="00CF232F">
        <w:pPr>
          <w:pStyle w:val="Piedepgina"/>
          <w:jc w:val="right"/>
        </w:pPr>
        <w:r>
          <w:fldChar w:fldCharType="begin"/>
        </w:r>
        <w:r>
          <w:instrText>PAGE   \* MERGEFORMAT</w:instrText>
        </w:r>
        <w:r>
          <w:fldChar w:fldCharType="separate"/>
        </w:r>
        <w:r w:rsidR="008C25C8" w:rsidRPr="008C25C8">
          <w:rPr>
            <w:noProof/>
            <w:lang w:val="es-ES"/>
          </w:rPr>
          <w:t>1</w:t>
        </w:r>
        <w:r>
          <w:fldChar w:fldCharType="end"/>
        </w:r>
      </w:p>
    </w:sdtContent>
  </w:sdt>
  <w:p w:rsidR="00CF232F" w:rsidRDefault="00CF2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B2" w:rsidRDefault="006A3CB2" w:rsidP="00AB3016">
      <w:pPr>
        <w:spacing w:line="240" w:lineRule="auto"/>
      </w:pPr>
      <w:r>
        <w:separator/>
      </w:r>
    </w:p>
  </w:footnote>
  <w:footnote w:type="continuationSeparator" w:id="0">
    <w:p w:rsidR="006A3CB2" w:rsidRDefault="006A3CB2" w:rsidP="00AB3016">
      <w:pPr>
        <w:spacing w:line="240" w:lineRule="auto"/>
      </w:pPr>
      <w:r>
        <w:continuationSeparator/>
      </w:r>
    </w:p>
  </w:footnote>
  <w:footnote w:id="1">
    <w:p w:rsidR="000057EC" w:rsidRPr="000057EC" w:rsidRDefault="000057EC" w:rsidP="000057E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6"/>
    <w:rsid w:val="000057EC"/>
    <w:rsid w:val="00192EE5"/>
    <w:rsid w:val="00245A52"/>
    <w:rsid w:val="00315D81"/>
    <w:rsid w:val="0032645C"/>
    <w:rsid w:val="0037362A"/>
    <w:rsid w:val="00405509"/>
    <w:rsid w:val="004574C8"/>
    <w:rsid w:val="00486A7E"/>
    <w:rsid w:val="004B6535"/>
    <w:rsid w:val="004B6EF0"/>
    <w:rsid w:val="004B72B4"/>
    <w:rsid w:val="00526D75"/>
    <w:rsid w:val="0056206C"/>
    <w:rsid w:val="0063290B"/>
    <w:rsid w:val="006A3CB2"/>
    <w:rsid w:val="006C296C"/>
    <w:rsid w:val="0071666D"/>
    <w:rsid w:val="00787B54"/>
    <w:rsid w:val="007E7C3B"/>
    <w:rsid w:val="0081297D"/>
    <w:rsid w:val="00821AEE"/>
    <w:rsid w:val="00863612"/>
    <w:rsid w:val="008C25C8"/>
    <w:rsid w:val="008C74FD"/>
    <w:rsid w:val="008D0FB8"/>
    <w:rsid w:val="00911DC3"/>
    <w:rsid w:val="009B365D"/>
    <w:rsid w:val="009B6CE1"/>
    <w:rsid w:val="00A26498"/>
    <w:rsid w:val="00A5749A"/>
    <w:rsid w:val="00AB3016"/>
    <w:rsid w:val="00C10C1B"/>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44C5E"/>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FA41-9593-4634-B14E-D56694F7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4102</Words>
  <Characters>22564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7</cp:revision>
  <cp:lastPrinted>2019-01-29T18:20:00Z</cp:lastPrinted>
  <dcterms:created xsi:type="dcterms:W3CDTF">2019-01-29T16:58:00Z</dcterms:created>
  <dcterms:modified xsi:type="dcterms:W3CDTF">2019-01-29T18:46:00Z</dcterms:modified>
</cp:coreProperties>
</file>