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BD" w:rsidRDefault="00FC64BD" w:rsidP="00FC64BD">
      <w:pPr>
        <w:jc w:val="center"/>
        <w:rPr>
          <w:rFonts w:ascii="Arial Black" w:hAnsi="Arial Black"/>
          <w:b/>
        </w:rPr>
      </w:pPr>
      <w:r w:rsidRPr="00B272F8">
        <w:rPr>
          <w:rFonts w:ascii="Arial Black" w:hAnsi="Arial Black"/>
          <w:b/>
        </w:rPr>
        <w:t>INFORME DE ACTIVIDAD</w:t>
      </w:r>
      <w:r>
        <w:rPr>
          <w:rFonts w:ascii="Arial Black" w:hAnsi="Arial Black"/>
          <w:b/>
        </w:rPr>
        <w:t xml:space="preserve">ES DE LA COMISIÓN DE TRANSPARENCIA Y </w:t>
      </w:r>
      <w:r w:rsidRPr="00B272F8">
        <w:rPr>
          <w:rFonts w:ascii="Arial Black" w:hAnsi="Arial Black"/>
          <w:b/>
        </w:rPr>
        <w:t>A</w:t>
      </w:r>
      <w:r>
        <w:rPr>
          <w:rFonts w:ascii="Arial Black" w:hAnsi="Arial Black"/>
          <w:b/>
        </w:rPr>
        <w:t>NTICORRUPCIÓN</w:t>
      </w:r>
      <w:r w:rsidRPr="00B272F8">
        <w:rPr>
          <w:rFonts w:ascii="Arial Black" w:hAnsi="Arial Black"/>
          <w:b/>
        </w:rPr>
        <w:t xml:space="preserve">                                                                         COR</w:t>
      </w:r>
      <w:r>
        <w:rPr>
          <w:rFonts w:ascii="Arial Black" w:hAnsi="Arial Black"/>
          <w:b/>
        </w:rPr>
        <w:t>RESPONDIENTE A</w:t>
      </w:r>
      <w:r w:rsidR="009076F6">
        <w:rPr>
          <w:rFonts w:ascii="Arial Black" w:hAnsi="Arial Black"/>
          <w:b/>
        </w:rPr>
        <w:t>L PERIODO DE ENERO – MARZO 2021</w:t>
      </w:r>
    </w:p>
    <w:p w:rsidR="00FC64BD" w:rsidRPr="00FF2B32" w:rsidRDefault="00FC64BD" w:rsidP="00FC64BD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REGIDORA BETSABÉ ALMAGUER ESPARZA </w:t>
      </w:r>
    </w:p>
    <w:p w:rsidR="00FC64BD" w:rsidRDefault="00FC64BD" w:rsidP="00FC64BD"/>
    <w:p w:rsidR="00FC64BD" w:rsidRDefault="00FC64BD" w:rsidP="00FC64BD">
      <w:pPr>
        <w:tabs>
          <w:tab w:val="left" w:pos="1410"/>
        </w:tabs>
        <w:rPr>
          <w:rFonts w:ascii="Arial Black" w:hAnsi="Arial Black"/>
          <w:u w:val="single"/>
        </w:rPr>
      </w:pPr>
      <w:r w:rsidRPr="00F56805">
        <w:rPr>
          <w:rFonts w:ascii="Arial Black" w:hAnsi="Arial Black"/>
          <w:u w:val="single"/>
        </w:rPr>
        <w:t>Sesiones C</w:t>
      </w:r>
      <w:r>
        <w:rPr>
          <w:rFonts w:ascii="Arial Black" w:hAnsi="Arial Black"/>
          <w:u w:val="single"/>
        </w:rPr>
        <w:t xml:space="preserve">elebradas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7509"/>
      </w:tblGrid>
      <w:tr w:rsidR="009076F6" w:rsidTr="00B91095">
        <w:tc>
          <w:tcPr>
            <w:tcW w:w="3936" w:type="dxa"/>
          </w:tcPr>
          <w:p w:rsidR="009076F6" w:rsidRDefault="009076F6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Convocante</w:t>
            </w:r>
          </w:p>
        </w:tc>
        <w:tc>
          <w:tcPr>
            <w:tcW w:w="1701" w:type="dxa"/>
          </w:tcPr>
          <w:p w:rsidR="009076F6" w:rsidRDefault="009076F6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</w:t>
            </w:r>
          </w:p>
        </w:tc>
        <w:tc>
          <w:tcPr>
            <w:tcW w:w="7509" w:type="dxa"/>
          </w:tcPr>
          <w:p w:rsidR="009076F6" w:rsidRDefault="009076F6" w:rsidP="00B91095">
            <w:pPr>
              <w:tabs>
                <w:tab w:val="left" w:pos="1410"/>
              </w:tabs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Temática</w:t>
            </w:r>
          </w:p>
        </w:tc>
      </w:tr>
      <w:tr w:rsidR="009076F6" w:rsidTr="00B91095">
        <w:tc>
          <w:tcPr>
            <w:tcW w:w="3936" w:type="dxa"/>
          </w:tcPr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 xml:space="preserve">Transparencia y Anticorrupción  </w:t>
            </w:r>
          </w:p>
        </w:tc>
        <w:tc>
          <w:tcPr>
            <w:tcW w:w="1701" w:type="dxa"/>
          </w:tcPr>
          <w:p w:rsidR="009076F6" w:rsidRPr="00FF2B32" w:rsidRDefault="009076F6" w:rsidP="009076F6">
            <w:pPr>
              <w:tabs>
                <w:tab w:val="left" w:pos="1410"/>
              </w:tabs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Enero</w:t>
            </w:r>
          </w:p>
        </w:tc>
        <w:tc>
          <w:tcPr>
            <w:tcW w:w="7509" w:type="dxa"/>
          </w:tcPr>
          <w:p w:rsidR="009076F6" w:rsidRPr="00D563C5" w:rsidRDefault="009076F6" w:rsidP="009076F6">
            <w:pPr>
              <w:jc w:val="both"/>
              <w:rPr>
                <w:rFonts w:ascii="Century Gothic" w:eastAsia="Verdana" w:hAnsi="Century Gothic" w:cs="Verdana"/>
              </w:rPr>
            </w:pPr>
            <w:r w:rsidRPr="00D563C5">
              <w:rPr>
                <w:rFonts w:ascii="Century Gothic" w:eastAsia="Verdana" w:hAnsi="Century Gothic" w:cs="Verdana"/>
              </w:rPr>
              <w:t xml:space="preserve">De conformidad con el punto </w:t>
            </w:r>
            <w:r w:rsidRPr="00D563C5">
              <w:rPr>
                <w:rFonts w:ascii="Century Gothic" w:eastAsia="Verdana" w:hAnsi="Century Gothic" w:cs="Verdana"/>
                <w:b/>
              </w:rPr>
              <w:t xml:space="preserve">Segundo </w:t>
            </w:r>
            <w:r w:rsidRPr="00D563C5">
              <w:rPr>
                <w:rFonts w:ascii="Century Gothic" w:eastAsia="Verdana" w:hAnsi="Century Gothic" w:cs="Verdana"/>
              </w:rPr>
              <w:t xml:space="preserve">del </w:t>
            </w:r>
            <w:r w:rsidRPr="00D563C5">
              <w:rPr>
                <w:rFonts w:ascii="Century Gothic" w:eastAsia="Verdana" w:hAnsi="Century Gothic" w:cs="Verdana"/>
                <w:b/>
                <w:color w:val="000000"/>
              </w:rPr>
              <w:t>A</w:t>
            </w:r>
            <w:r w:rsidRPr="00D563C5">
              <w:rPr>
                <w:rFonts w:ascii="Century Gothic" w:eastAsia="Verdana" w:hAnsi="Century Gothic" w:cs="Verdana"/>
                <w:b/>
              </w:rPr>
              <w:t>cuerdo</w:t>
            </w:r>
            <w:r w:rsidRPr="00D563C5">
              <w:rPr>
                <w:rFonts w:ascii="Century Gothic" w:eastAsia="Verdana" w:hAnsi="Century Gothic" w:cs="Verdana"/>
                <w:b/>
                <w:color w:val="000000"/>
              </w:rPr>
              <w:t xml:space="preserve"> de Cabildo </w:t>
            </w:r>
            <w:r w:rsidRPr="00D563C5">
              <w:rPr>
                <w:rFonts w:ascii="Century Gothic" w:eastAsia="Verdana" w:hAnsi="Century Gothic" w:cs="Verdana"/>
                <w:b/>
              </w:rPr>
              <w:t>número</w:t>
            </w:r>
            <w:r w:rsidRPr="00D563C5">
              <w:rPr>
                <w:rFonts w:ascii="Century Gothic" w:eastAsia="Verdana" w:hAnsi="Century Gothic" w:cs="Verdana"/>
                <w:b/>
                <w:color w:val="000000"/>
              </w:rPr>
              <w:t xml:space="preserve"> 1608/2021</w:t>
            </w:r>
            <w:r w:rsidRPr="00D563C5">
              <w:rPr>
                <w:rFonts w:ascii="Century Gothic" w:eastAsia="Verdana" w:hAnsi="Century Gothic" w:cs="Verdana"/>
              </w:rPr>
              <w:t xml:space="preserve">, 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>aprobado po</w:t>
            </w:r>
            <w:r w:rsidRPr="00D563C5">
              <w:rPr>
                <w:rFonts w:ascii="Century Gothic" w:eastAsia="Verdana" w:hAnsi="Century Gothic" w:cs="Verdana"/>
              </w:rPr>
              <w:t>r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 xml:space="preserve"> este Ayuntamiento de </w:t>
            </w:r>
            <w:r w:rsidRPr="00D563C5">
              <w:rPr>
                <w:rFonts w:ascii="Century Gothic" w:eastAsia="Verdana" w:hAnsi="Century Gothic" w:cs="Verdana"/>
              </w:rPr>
              <w:t>S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 xml:space="preserve">an Pedro Tlaquepaque </w:t>
            </w:r>
            <w:r w:rsidRPr="00D563C5">
              <w:rPr>
                <w:rFonts w:ascii="Century Gothic" w:eastAsia="Verdana" w:hAnsi="Century Gothic" w:cs="Verdana"/>
              </w:rPr>
              <w:t>con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 xml:space="preserve"> fecha </w:t>
            </w:r>
            <w:r w:rsidRPr="00D563C5">
              <w:rPr>
                <w:rFonts w:ascii="Century Gothic" w:eastAsia="Verdana" w:hAnsi="Century Gothic" w:cs="Verdana"/>
              </w:rPr>
              <w:t>1</w:t>
            </w:r>
            <w:r w:rsidRPr="00D563C5">
              <w:rPr>
                <w:rFonts w:ascii="Century Gothic" w:eastAsia="Verdana" w:hAnsi="Century Gothic" w:cs="Verdana"/>
                <w:color w:val="000000"/>
              </w:rPr>
              <w:t>9 de enero de 2021</w:t>
            </w:r>
            <w:r w:rsidRPr="00D563C5">
              <w:rPr>
                <w:rFonts w:ascii="Century Gothic" w:eastAsia="Verdana" w:hAnsi="Century Gothic" w:cs="Verdana"/>
              </w:rPr>
              <w:t xml:space="preserve">, referente a la propuesta de la Presidenta Municipal, María Elena Limón García, que tiene por objeto </w:t>
            </w:r>
            <w:r w:rsidRPr="00D563C5">
              <w:rPr>
                <w:rFonts w:ascii="Century Gothic" w:eastAsia="Verdana" w:hAnsi="Century Gothic" w:cs="Verdana"/>
                <w:b/>
              </w:rPr>
              <w:t>“La adopción de medidas para prevenir y contener la pandemia del COVID-19 en las dependencias y entidades de la Administración Pública Municipal y establecer los criterios para suspensión de plazos, trámites y procedimientos relativos a su competencia”</w:t>
            </w:r>
            <w:r w:rsidRPr="00D563C5">
              <w:rPr>
                <w:rFonts w:ascii="Century Gothic" w:eastAsia="Verdana" w:hAnsi="Century Gothic" w:cs="Verdana"/>
              </w:rPr>
              <w:t xml:space="preserve"> que a la letra señala:</w:t>
            </w:r>
          </w:p>
          <w:p w:rsidR="009076F6" w:rsidRPr="00D563C5" w:rsidRDefault="009076F6" w:rsidP="009076F6">
            <w:pPr>
              <w:jc w:val="both"/>
              <w:rPr>
                <w:rFonts w:ascii="Century Gothic" w:eastAsia="Verdana" w:hAnsi="Century Gothic" w:cs="Verdana"/>
                <w:b/>
              </w:rPr>
            </w:pPr>
          </w:p>
          <w:p w:rsidR="009076F6" w:rsidRPr="00D563C5" w:rsidRDefault="009076F6" w:rsidP="009076F6">
            <w:pPr>
              <w:pStyle w:val="Prrafodelista"/>
              <w:ind w:left="1080"/>
              <w:jc w:val="both"/>
              <w:rPr>
                <w:rFonts w:ascii="Century Gothic" w:eastAsia="Verdana" w:hAnsi="Century Gothic" w:cs="Verdana"/>
              </w:rPr>
            </w:pPr>
            <w:r w:rsidRPr="00D563C5">
              <w:rPr>
                <w:rFonts w:ascii="Century Gothic" w:eastAsia="Verdana" w:hAnsi="Century Gothic" w:cs="Verdana"/>
                <w:b/>
                <w:i/>
              </w:rPr>
              <w:t xml:space="preserve">… </w:t>
            </w:r>
            <w:r w:rsidRPr="00D563C5">
              <w:rPr>
                <w:rFonts w:ascii="Century Gothic" w:eastAsia="Verdana" w:hAnsi="Century Gothic" w:cs="Verdana"/>
                <w:i/>
              </w:rPr>
              <w:t>“</w:t>
            </w:r>
            <w:r w:rsidRPr="00D563C5">
              <w:rPr>
                <w:rFonts w:ascii="Century Gothic" w:eastAsia="Verdana" w:hAnsi="Century Gothic" w:cs="Verdana"/>
                <w:b/>
                <w:i/>
              </w:rPr>
              <w:t xml:space="preserve">SEGUNDO.- </w:t>
            </w:r>
            <w:r w:rsidRPr="00D563C5">
              <w:rPr>
                <w:rFonts w:ascii="Century Gothic" w:eastAsia="Verdana" w:hAnsi="Century Gothic" w:cs="Verdana"/>
                <w:i/>
              </w:rPr>
              <w:t xml:space="preserve">El Ayuntamiento Constitucional de San Pedro Tlaquepaque, Jalisco, aprueba y autoriza </w:t>
            </w:r>
            <w:r w:rsidRPr="00D563C5">
              <w:rPr>
                <w:rFonts w:ascii="Century Gothic" w:eastAsia="Verdana" w:hAnsi="Century Gothic" w:cs="Verdana"/>
                <w:b/>
                <w:i/>
              </w:rPr>
              <w:t>la suspensión de plazos y términos administrativos</w:t>
            </w:r>
            <w:r w:rsidRPr="00D563C5">
              <w:rPr>
                <w:rFonts w:ascii="Century Gothic" w:eastAsia="Verdana" w:hAnsi="Century Gothic" w:cs="Verdana"/>
                <w:i/>
              </w:rPr>
              <w:t xml:space="preserve">, así como los que estén relacionados con los procedimientos de acceso a la información pública y protección de datos personales establecidos en la Ley de Transparencia y Acceso a la Información Pública del Estado de Jalisco y sus Municipios y la Ley de Protección de Datos Personales en Posesión de Sujetos Obligados del Estado de Jalisco y sus Municipios, del periodo comprendido del 20 de enero </w:t>
            </w:r>
            <w:r w:rsidRPr="00D563C5">
              <w:rPr>
                <w:rFonts w:ascii="Century Gothic" w:eastAsia="Verdana" w:hAnsi="Century Gothic" w:cs="Verdana"/>
                <w:i/>
              </w:rPr>
              <w:lastRenderedPageBreak/>
              <w:t>del año 2021 al 29 de enero del 2021.”</w:t>
            </w:r>
          </w:p>
          <w:p w:rsidR="009076F6" w:rsidRPr="00D563C5" w:rsidRDefault="009076F6" w:rsidP="009076F6">
            <w:pPr>
              <w:pStyle w:val="Prrafodelista"/>
              <w:ind w:left="1080"/>
              <w:jc w:val="both"/>
              <w:rPr>
                <w:rFonts w:ascii="Verdana" w:eastAsia="Verdana" w:hAnsi="Verdana" w:cs="Verdana"/>
                <w:sz w:val="26"/>
                <w:szCs w:val="26"/>
              </w:rPr>
            </w:pPr>
          </w:p>
          <w:p w:rsidR="009076F6" w:rsidRDefault="009076F6" w:rsidP="009076F6">
            <w:pPr>
              <w:jc w:val="both"/>
              <w:rPr>
                <w:rFonts w:ascii="Century Gothic" w:eastAsia="Verdana" w:hAnsi="Century Gothic" w:cs="Verdana"/>
              </w:rPr>
            </w:pPr>
          </w:p>
          <w:p w:rsidR="009076F6" w:rsidRPr="009076F6" w:rsidRDefault="009076F6" w:rsidP="009076F6">
            <w:pPr>
              <w:jc w:val="both"/>
              <w:rPr>
                <w:rFonts w:ascii="Century Gothic" w:eastAsia="Verdana" w:hAnsi="Century Gothic" w:cs="Verdana"/>
              </w:rPr>
            </w:pPr>
            <w:r w:rsidRPr="00D563C5">
              <w:rPr>
                <w:rFonts w:ascii="Century Gothic" w:eastAsia="Verdana" w:hAnsi="Century Gothic" w:cs="Verdana"/>
              </w:rPr>
              <w:t>Por lo anteriormente menci</w:t>
            </w:r>
            <w:r>
              <w:rPr>
                <w:rFonts w:ascii="Century Gothic" w:eastAsia="Verdana" w:hAnsi="Century Gothic" w:cs="Verdana"/>
              </w:rPr>
              <w:t>onado y toda vez que las Sesión de la Comisión Edilicia</w:t>
            </w:r>
            <w:r w:rsidRPr="00D563C5">
              <w:rPr>
                <w:rFonts w:ascii="Century Gothic" w:eastAsia="Verdana" w:hAnsi="Century Gothic" w:cs="Verdana"/>
              </w:rPr>
              <w:t xml:space="preserve"> que me honra Pre</w:t>
            </w:r>
            <w:r>
              <w:rPr>
                <w:rFonts w:ascii="Century Gothic" w:eastAsia="Verdana" w:hAnsi="Century Gothic" w:cs="Verdana"/>
              </w:rPr>
              <w:t>sidir se encontraban programada</w:t>
            </w:r>
            <w:r w:rsidRPr="00D563C5">
              <w:rPr>
                <w:rFonts w:ascii="Century Gothic" w:eastAsia="Verdana" w:hAnsi="Century Gothic" w:cs="Verdana"/>
              </w:rPr>
              <w:t xml:space="preserve"> para días contenidos en la segunda quincena del mes de enero del año en curso, fina</w:t>
            </w:r>
            <w:r>
              <w:rPr>
                <w:rFonts w:ascii="Century Gothic" w:eastAsia="Verdana" w:hAnsi="Century Gothic" w:cs="Verdana"/>
              </w:rPr>
              <w:t xml:space="preserve">lmente no fue posible llevarla </w:t>
            </w:r>
            <w:r w:rsidRPr="00D563C5">
              <w:rPr>
                <w:rFonts w:ascii="Century Gothic" w:eastAsia="Verdana" w:hAnsi="Century Gothic" w:cs="Verdana"/>
              </w:rPr>
              <w:t xml:space="preserve">a cabo. </w:t>
            </w:r>
          </w:p>
        </w:tc>
      </w:tr>
      <w:tr w:rsidR="009076F6" w:rsidTr="00B91095">
        <w:tc>
          <w:tcPr>
            <w:tcW w:w="3936" w:type="dxa"/>
          </w:tcPr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>Transparencia y Anticorrupción</w:t>
            </w:r>
          </w:p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9076F6" w:rsidRPr="00FF2B32" w:rsidRDefault="009076F6" w:rsidP="009076F6">
            <w:pPr>
              <w:tabs>
                <w:tab w:val="left" w:pos="1410"/>
              </w:tabs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23 Febrero</w:t>
            </w:r>
          </w:p>
        </w:tc>
        <w:tc>
          <w:tcPr>
            <w:tcW w:w="7509" w:type="dxa"/>
          </w:tcPr>
          <w:p w:rsidR="009076F6" w:rsidRPr="009076F6" w:rsidRDefault="009076F6" w:rsidP="009076F6">
            <w:pPr>
              <w:jc w:val="both"/>
              <w:rPr>
                <w:rFonts w:ascii="Century Gothic" w:hAnsi="Century Gothic" w:cs="Arial"/>
                <w:sz w:val="26"/>
                <w:szCs w:val="26"/>
              </w:rPr>
            </w:pPr>
            <w:r w:rsidRPr="009076F6">
              <w:rPr>
                <w:rFonts w:ascii="Century Gothic" w:hAnsi="Century Gothic" w:cs="Arial"/>
                <w:sz w:val="26"/>
                <w:szCs w:val="26"/>
              </w:rPr>
              <w:t xml:space="preserve">Informe sobre la última evaluación </w:t>
            </w:r>
            <w:proofErr w:type="spellStart"/>
            <w:r w:rsidRPr="009076F6">
              <w:rPr>
                <w:rFonts w:ascii="Century Gothic" w:hAnsi="Century Gothic" w:cs="Arial"/>
                <w:sz w:val="26"/>
                <w:szCs w:val="26"/>
              </w:rPr>
              <w:t>Cimtra</w:t>
            </w:r>
            <w:proofErr w:type="spellEnd"/>
            <w:r w:rsidRPr="009076F6">
              <w:rPr>
                <w:rFonts w:ascii="Century Gothic" w:hAnsi="Century Gothic" w:cs="Arial"/>
                <w:sz w:val="26"/>
                <w:szCs w:val="26"/>
              </w:rPr>
              <w:t xml:space="preserve"> Ciudadanos de Municipios transparentes, por parte de la Unidad de Transparencia de este Municipio de San Pedro Tlaquepaque.    </w:t>
            </w:r>
          </w:p>
          <w:p w:rsidR="009076F6" w:rsidRPr="00FF2B32" w:rsidRDefault="009076F6" w:rsidP="009076F6">
            <w:pPr>
              <w:jc w:val="both"/>
              <w:rPr>
                <w:rFonts w:ascii="Century Gothic" w:hAnsi="Century Gothic" w:cs="Arial"/>
                <w:sz w:val="26"/>
                <w:szCs w:val="26"/>
              </w:rPr>
            </w:pPr>
          </w:p>
        </w:tc>
      </w:tr>
      <w:tr w:rsidR="009076F6" w:rsidTr="00B91095">
        <w:tc>
          <w:tcPr>
            <w:tcW w:w="3936" w:type="dxa"/>
          </w:tcPr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  <w:r w:rsidRPr="00FF2B32">
              <w:rPr>
                <w:rFonts w:ascii="Century Gothic" w:hAnsi="Century Gothic" w:cs="Arial"/>
                <w:sz w:val="26"/>
                <w:szCs w:val="26"/>
              </w:rPr>
              <w:t>Transparencia y Anticorrupción</w:t>
            </w:r>
          </w:p>
          <w:p w:rsidR="009076F6" w:rsidRPr="00FF2B32" w:rsidRDefault="009076F6" w:rsidP="00B91095">
            <w:pPr>
              <w:tabs>
                <w:tab w:val="left" w:pos="1410"/>
              </w:tabs>
              <w:rPr>
                <w:rFonts w:ascii="Century Gothic" w:hAnsi="Century Gothic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9076F6" w:rsidRPr="00FF2B32" w:rsidRDefault="009076F6" w:rsidP="009076F6">
            <w:pPr>
              <w:tabs>
                <w:tab w:val="left" w:pos="1410"/>
              </w:tabs>
              <w:jc w:val="center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25  Marzo</w:t>
            </w:r>
          </w:p>
        </w:tc>
        <w:tc>
          <w:tcPr>
            <w:tcW w:w="7509" w:type="dxa"/>
          </w:tcPr>
          <w:p w:rsidR="009076F6" w:rsidRPr="00FF2B32" w:rsidRDefault="009076F6" w:rsidP="009076F6">
            <w:pPr>
              <w:tabs>
                <w:tab w:val="left" w:pos="1410"/>
              </w:tabs>
              <w:jc w:val="both"/>
              <w:rPr>
                <w:rFonts w:ascii="Century Gothic" w:hAnsi="Century Gothic" w:cs="Arial"/>
                <w:sz w:val="26"/>
                <w:szCs w:val="26"/>
              </w:rPr>
            </w:pPr>
            <w:r>
              <w:rPr>
                <w:rFonts w:ascii="Century Gothic" w:hAnsi="Century Gothic" w:cs="Arial"/>
                <w:sz w:val="26"/>
                <w:szCs w:val="26"/>
              </w:rPr>
              <w:t>Informe sobre el estado que guardan las solicitudes de información de datos personales de éste Municipio de San Pedro Tlaquepaque</w:t>
            </w:r>
          </w:p>
        </w:tc>
      </w:tr>
    </w:tbl>
    <w:p w:rsidR="003D56F4" w:rsidRDefault="003D56F4"/>
    <w:p w:rsidR="00497D64" w:rsidRDefault="00497D64"/>
    <w:p w:rsidR="009076F6" w:rsidRPr="00497D64" w:rsidRDefault="009076F6" w:rsidP="00497D6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497D64">
        <w:rPr>
          <w:rFonts w:ascii="Century Gothic" w:eastAsia="Times New Roman" w:hAnsi="Century Gothic" w:cs="Arial"/>
          <w:sz w:val="28"/>
          <w:szCs w:val="28"/>
          <w:lang w:val="es-ES" w:eastAsia="es-ES"/>
        </w:rPr>
        <w:t xml:space="preserve">La consulta de las actividades realizadas durante el periodo de Enero a Marzo, se encuentran en el link: </w:t>
      </w:r>
      <w:hyperlink r:id="rId8" w:history="1">
        <w:r w:rsidRPr="00497D64">
          <w:rPr>
            <w:rStyle w:val="Hipervnculo"/>
            <w:rFonts w:ascii="Century Gothic" w:hAnsi="Century Gothic" w:cs="Arial"/>
            <w:sz w:val="28"/>
            <w:szCs w:val="28"/>
          </w:rPr>
          <w:t>https://transparencia.tlaquepaque.gob.mx/agenda/agenda-diaria-actividades-regidores/</w:t>
        </w:r>
      </w:hyperlink>
      <w:bookmarkStart w:id="0" w:name="_GoBack"/>
      <w:bookmarkEnd w:id="0"/>
    </w:p>
    <w:p w:rsidR="009076F6" w:rsidRDefault="009076F6"/>
    <w:sectPr w:rsidR="009076F6" w:rsidSect="00FC64BD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6F6" w:rsidRDefault="009076F6" w:rsidP="009076F6">
      <w:pPr>
        <w:spacing w:after="0" w:line="240" w:lineRule="auto"/>
      </w:pPr>
      <w:r>
        <w:separator/>
      </w:r>
    </w:p>
  </w:endnote>
  <w:endnote w:type="continuationSeparator" w:id="0">
    <w:p w:rsidR="009076F6" w:rsidRDefault="009076F6" w:rsidP="0090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6F6" w:rsidRDefault="009076F6" w:rsidP="009076F6">
      <w:pPr>
        <w:spacing w:after="0" w:line="240" w:lineRule="auto"/>
      </w:pPr>
      <w:r>
        <w:separator/>
      </w:r>
    </w:p>
  </w:footnote>
  <w:footnote w:type="continuationSeparator" w:id="0">
    <w:p w:rsidR="009076F6" w:rsidRDefault="009076F6" w:rsidP="00907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6F6" w:rsidRDefault="009076F6">
    <w:pPr>
      <w:pStyle w:val="Encabezado"/>
    </w:pPr>
    <w:r>
      <w:rPr>
        <w:noProof/>
        <w:lang w:eastAsia="es-MX"/>
      </w:rPr>
      <w:drawing>
        <wp:inline distT="0" distB="0" distL="0" distR="0" wp14:anchorId="2F55A922" wp14:editId="044651A6">
          <wp:extent cx="1333500" cy="904875"/>
          <wp:effectExtent l="0" t="0" r="0" b="9525"/>
          <wp:docPr id="1" name="Imagen 1" descr="Archivo:Tlaquepaque.png - Wikipedia, la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rchivo:Tlaquepaque.png - Wikipedia, la enciclopedia lib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E4BFA03" wp14:editId="63C3121D">
              <wp:simplePos x="0" y="0"/>
              <wp:positionH relativeFrom="margin">
                <wp:posOffset>8434705</wp:posOffset>
              </wp:positionH>
              <wp:positionV relativeFrom="topMargin">
                <wp:posOffset>600075</wp:posOffset>
              </wp:positionV>
              <wp:extent cx="542925" cy="504000"/>
              <wp:effectExtent l="57150" t="38100" r="85725" b="86995"/>
              <wp:wrapNone/>
              <wp:docPr id="659" name="Óval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2925" cy="504000"/>
                      </a:xfrm>
                      <a:prstGeom prst="ellipse">
                        <a:avLst/>
                      </a:prstGeom>
                      <a:gradFill rotWithShape="1">
                        <a:gsLst>
                          <a:gs pos="0">
                            <a:srgbClr val="8064A2">
                              <a:tint val="50000"/>
                              <a:satMod val="300000"/>
                            </a:srgbClr>
                          </a:gs>
                          <a:gs pos="35000">
                            <a:srgbClr val="8064A2">
                              <a:tint val="37000"/>
                              <a:satMod val="300000"/>
                            </a:srgbClr>
                          </a:gs>
                          <a:gs pos="100000">
                            <a:srgbClr val="8064A2">
                              <a:tint val="15000"/>
                              <a:satMod val="350000"/>
                            </a:srgbClr>
                          </a:gs>
                        </a:gsLst>
                        <a:lin ang="16200000" scaled="1"/>
                      </a:gra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  <a:extLst/>
                    </wps:spPr>
                    <wps:txbx>
                      <w:txbxContent>
                        <w:p w:rsidR="009076F6" w:rsidRPr="00B272F8" w:rsidRDefault="009076F6" w:rsidP="009076F6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begin"/>
                          </w:r>
                          <w:r w:rsidRPr="00B272F8">
                            <w:rPr>
                              <w:color w:val="000000" w:themeColor="text1"/>
                            </w:rPr>
                            <w:instrText>PAGE    \* MERGEFORMAT</w:instrText>
                          </w:r>
                          <w:r w:rsidRPr="00B272F8">
                            <w:rPr>
                              <w:color w:val="000000" w:themeColor="text1"/>
                              <w:szCs w:val="21"/>
                            </w:rPr>
                            <w:fldChar w:fldCharType="separate"/>
                          </w:r>
                          <w:r w:rsidR="00497D64" w:rsidRPr="00497D64">
                            <w:rPr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lang w:val="es-ES"/>
                            </w:rPr>
                            <w:t>1</w:t>
                          </w:r>
                          <w:r w:rsidRPr="00B272F8">
                            <w:rPr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Óvalo 12" o:spid="_x0000_s1026" style="position:absolute;margin-left:664.15pt;margin-top:47.25pt;width:42.7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" o:allowincell="f" fillcolor="#c9b5e8" strokecolor="#7d60a0">
              <v:fill color2="#f0eaf9" rotate="t" angle="180" colors="0 #c9b5e8;22938f #d9cbee;1 #f0eaf9" focus="100%" type="gradient"/>
              <v:shadow on="t" color="black" opacity="24903f" origin=",.5" offset="0,.55556mm"/>
              <v:textbox inset="0,,0">
                <w:txbxContent>
                  <w:p w:rsidR="009076F6" w:rsidRPr="00B272F8" w:rsidRDefault="009076F6" w:rsidP="009076F6">
                    <w:pPr>
                      <w:pStyle w:val="Piedepgina"/>
                      <w:jc w:val="center"/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</w:pPr>
                    <w:r w:rsidRPr="00B272F8">
                      <w:rPr>
                        <w:color w:val="000000" w:themeColor="text1"/>
                        <w:szCs w:val="21"/>
                      </w:rPr>
                      <w:fldChar w:fldCharType="begin"/>
                    </w:r>
                    <w:r w:rsidRPr="00B272F8">
                      <w:rPr>
                        <w:color w:val="000000" w:themeColor="text1"/>
                      </w:rPr>
                      <w:instrText>PAGE    \* MERGEFORMAT</w:instrText>
                    </w:r>
                    <w:r w:rsidRPr="00B272F8">
                      <w:rPr>
                        <w:color w:val="000000" w:themeColor="text1"/>
                        <w:szCs w:val="21"/>
                      </w:rPr>
                      <w:fldChar w:fldCharType="separate"/>
                    </w:r>
                    <w:r w:rsidR="00497D64" w:rsidRPr="00497D64">
                      <w:rPr>
                        <w:b/>
                        <w:bCs/>
                        <w:noProof/>
                        <w:color w:val="000000" w:themeColor="text1"/>
                        <w:sz w:val="32"/>
                        <w:szCs w:val="32"/>
                        <w:lang w:val="es-ES"/>
                      </w:rPr>
                      <w:t>1</w:t>
                    </w:r>
                    <w:r w:rsidRPr="00B272F8">
                      <w:rPr>
                        <w:b/>
                        <w:bCs/>
                        <w:color w:val="000000" w:themeColor="text1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B3104"/>
    <w:multiLevelType w:val="hybridMultilevel"/>
    <w:tmpl w:val="74C8AD72"/>
    <w:lvl w:ilvl="0" w:tplc="78A009A6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BD"/>
    <w:rsid w:val="003D56F4"/>
    <w:rsid w:val="00497D64"/>
    <w:rsid w:val="009076F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76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6F6"/>
  </w:style>
  <w:style w:type="paragraph" w:styleId="Piedepgina">
    <w:name w:val="footer"/>
    <w:basedOn w:val="Normal"/>
    <w:link w:val="PiedepginaCar"/>
    <w:uiPriority w:val="99"/>
    <w:unhideWhenUsed/>
    <w:rsid w:val="00907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F6"/>
  </w:style>
  <w:style w:type="paragraph" w:styleId="Textodeglobo">
    <w:name w:val="Balloon Text"/>
    <w:basedOn w:val="Normal"/>
    <w:link w:val="TextodegloboCar"/>
    <w:uiPriority w:val="99"/>
    <w:semiHidden/>
    <w:unhideWhenUsed/>
    <w:rsid w:val="009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76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4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0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076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7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76F6"/>
  </w:style>
  <w:style w:type="paragraph" w:styleId="Piedepgina">
    <w:name w:val="footer"/>
    <w:basedOn w:val="Normal"/>
    <w:link w:val="PiedepginaCar"/>
    <w:uiPriority w:val="99"/>
    <w:unhideWhenUsed/>
    <w:rsid w:val="009076F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76F6"/>
  </w:style>
  <w:style w:type="paragraph" w:styleId="Textodeglobo">
    <w:name w:val="Balloon Text"/>
    <w:basedOn w:val="Normal"/>
    <w:link w:val="TextodegloboCar"/>
    <w:uiPriority w:val="99"/>
    <w:semiHidden/>
    <w:unhideWhenUsed/>
    <w:rsid w:val="00907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76F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076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tlaquepaque.gob.mx/agenda/agenda-diaria-actividades-regidor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Plascencia</dc:creator>
  <cp:lastModifiedBy>Roberto Plascencia</cp:lastModifiedBy>
  <cp:revision>1</cp:revision>
  <dcterms:created xsi:type="dcterms:W3CDTF">2021-04-15T18:34:00Z</dcterms:created>
  <dcterms:modified xsi:type="dcterms:W3CDTF">2021-04-15T19:01:00Z</dcterms:modified>
</cp:coreProperties>
</file>