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0" w:rsidRDefault="009E33A5" w:rsidP="00317990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INFORME DE ACTIVIDADES DE LA COMISIÓN</w:t>
      </w:r>
      <w:r w:rsidR="00317990" w:rsidRPr="004E6FDF">
        <w:rPr>
          <w:rFonts w:ascii="Arial Black" w:hAnsi="Arial Black"/>
          <w:b/>
          <w:sz w:val="20"/>
          <w:szCs w:val="20"/>
        </w:rPr>
        <w:t xml:space="preserve"> DE PLA</w:t>
      </w:r>
      <w:r>
        <w:rPr>
          <w:rFonts w:ascii="Arial Black" w:hAnsi="Arial Black"/>
          <w:b/>
          <w:sz w:val="20"/>
          <w:szCs w:val="20"/>
        </w:rPr>
        <w:t>NEACIÓN SOCIOECONÓMICA Y URBANA</w:t>
      </w:r>
      <w:r w:rsidR="00317990">
        <w:rPr>
          <w:rFonts w:ascii="Arial Black" w:hAnsi="Arial Black"/>
          <w:b/>
          <w:sz w:val="20"/>
          <w:szCs w:val="20"/>
        </w:rPr>
        <w:t xml:space="preserve"> </w:t>
      </w:r>
      <w:r w:rsidR="00317990" w:rsidRPr="004E6FDF">
        <w:rPr>
          <w:rFonts w:ascii="Arial Black" w:hAnsi="Arial Black"/>
          <w:b/>
          <w:sz w:val="20"/>
          <w:szCs w:val="20"/>
        </w:rPr>
        <w:t>CORRE</w:t>
      </w:r>
      <w:r w:rsidR="00317990">
        <w:rPr>
          <w:rFonts w:ascii="Arial Black" w:hAnsi="Arial Black"/>
          <w:b/>
          <w:sz w:val="20"/>
          <w:szCs w:val="20"/>
        </w:rPr>
        <w:t>SPONDIENTE AL PERIODO DE ENERO – MARZO 2021</w:t>
      </w:r>
    </w:p>
    <w:p w:rsidR="003D56F4" w:rsidRDefault="00317990" w:rsidP="00317990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1953C4">
        <w:rPr>
          <w:rFonts w:ascii="Arial Black" w:hAnsi="Arial Black"/>
          <w:b/>
          <w:sz w:val="20"/>
          <w:szCs w:val="20"/>
          <w:u w:val="single"/>
        </w:rPr>
        <w:t>REGIDORA BETSABÉ ALMAGUER ESPARZA</w:t>
      </w:r>
    </w:p>
    <w:p w:rsidR="00317990" w:rsidRDefault="00317990" w:rsidP="00317990">
      <w:pPr>
        <w:tabs>
          <w:tab w:val="left" w:pos="1410"/>
        </w:tabs>
        <w:rPr>
          <w:rFonts w:ascii="Arial Black" w:hAnsi="Arial Black"/>
          <w:u w:val="single"/>
        </w:rPr>
      </w:pPr>
    </w:p>
    <w:p w:rsidR="00317990" w:rsidRDefault="009E33A5" w:rsidP="00317990">
      <w:pPr>
        <w:tabs>
          <w:tab w:val="left" w:pos="141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Iniciativa presentada</w:t>
      </w:r>
      <w:r w:rsidR="00317990">
        <w:rPr>
          <w:rFonts w:ascii="Arial Black" w:hAnsi="Arial Black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7371"/>
        <w:gridCol w:w="1701"/>
      </w:tblGrid>
      <w:tr w:rsidR="00E146F4" w:rsidTr="00B91095">
        <w:tc>
          <w:tcPr>
            <w:tcW w:w="2093" w:type="dxa"/>
          </w:tcPr>
          <w:p w:rsidR="00E146F4" w:rsidRDefault="00E146F4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1984" w:type="dxa"/>
          </w:tcPr>
          <w:p w:rsidR="00E146F4" w:rsidRDefault="00E146F4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371" w:type="dxa"/>
          </w:tcPr>
          <w:p w:rsidR="00E146F4" w:rsidRDefault="00E146F4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701" w:type="dxa"/>
          </w:tcPr>
          <w:p w:rsidR="00E146F4" w:rsidRDefault="00E146F4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E146F4" w:rsidTr="00B91095">
        <w:tc>
          <w:tcPr>
            <w:tcW w:w="2093" w:type="dxa"/>
          </w:tcPr>
          <w:p w:rsidR="00E146F4" w:rsidRPr="00B272F8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Pr="00B272F8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Pr="00B272F8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Iniciativa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46F4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Pr="00B272F8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 de Febrero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146F4" w:rsidRPr="00B272F8" w:rsidRDefault="00E146F4" w:rsidP="00E146F4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propone el turno a la comisión de Planeación Socioeconómica y Urbana como convocante y a las comisiones Edilicias de Reglamentos Municipales y Puntos Legislativos, Medio Ambiente y Servicios Públicos como coadyuvantes, para el estudio y análisis del “Plan de Desarrollo Urbano de Centro de Población y Planes Parciales de Desarrollo Urbano” para su posterior aprobación, publicación y registro. </w:t>
            </w:r>
          </w:p>
        </w:tc>
        <w:tc>
          <w:tcPr>
            <w:tcW w:w="1701" w:type="dxa"/>
          </w:tcPr>
          <w:p w:rsidR="00E146F4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Default="00E146F4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46F4" w:rsidRPr="00B272F8" w:rsidRDefault="00E146F4" w:rsidP="00B91095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9E33A5" w:rsidRDefault="009E33A5" w:rsidP="009E33A5">
      <w:pPr>
        <w:tabs>
          <w:tab w:val="left" w:pos="1410"/>
        </w:tabs>
        <w:rPr>
          <w:noProof/>
          <w:lang w:eastAsia="es-MX"/>
        </w:rPr>
      </w:pPr>
    </w:p>
    <w:p w:rsidR="009E33A5" w:rsidRDefault="009E33A5" w:rsidP="009E33A5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 xml:space="preserve">Sesiones Celebradas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7509"/>
      </w:tblGrid>
      <w:tr w:rsidR="009E33A5" w:rsidTr="00B91095">
        <w:tc>
          <w:tcPr>
            <w:tcW w:w="3936" w:type="dxa"/>
          </w:tcPr>
          <w:p w:rsidR="009E33A5" w:rsidRDefault="009E33A5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:rsidR="009E33A5" w:rsidRDefault="009E33A5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:rsidR="009E33A5" w:rsidRDefault="009E33A5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9E33A5" w:rsidTr="00B91095">
        <w:tc>
          <w:tcPr>
            <w:tcW w:w="3936" w:type="dxa"/>
          </w:tcPr>
          <w:p w:rsidR="009E33A5" w:rsidRPr="00A75C13" w:rsidRDefault="009E33A5" w:rsidP="009E33A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Planeación Socioeconómica y Urb</w:t>
            </w: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</w:p>
        </w:tc>
        <w:tc>
          <w:tcPr>
            <w:tcW w:w="1701" w:type="dxa"/>
          </w:tcPr>
          <w:p w:rsidR="009E33A5" w:rsidRPr="00A75C13" w:rsidRDefault="009E33A5" w:rsidP="009E33A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7509" w:type="dxa"/>
          </w:tcPr>
          <w:p w:rsidR="009E33A5" w:rsidRPr="00D563C5" w:rsidRDefault="009E33A5" w:rsidP="009E33A5">
            <w:pPr>
              <w:jc w:val="both"/>
              <w:rPr>
                <w:rFonts w:ascii="Century Gothic" w:eastAsia="Verdana" w:hAnsi="Century Gothic" w:cs="Verdana"/>
              </w:rPr>
            </w:pPr>
            <w:r w:rsidRPr="00D563C5">
              <w:rPr>
                <w:rFonts w:ascii="Century Gothic" w:eastAsia="Verdana" w:hAnsi="Century Gothic" w:cs="Verdana"/>
              </w:rPr>
              <w:t xml:space="preserve">De conformidad con el punto </w:t>
            </w:r>
            <w:r w:rsidRPr="00D563C5">
              <w:rPr>
                <w:rFonts w:ascii="Century Gothic" w:eastAsia="Verdana" w:hAnsi="Century Gothic" w:cs="Verdana"/>
                <w:b/>
              </w:rPr>
              <w:t xml:space="preserve">Segundo </w:t>
            </w:r>
            <w:r w:rsidRPr="00D563C5">
              <w:rPr>
                <w:rFonts w:ascii="Century Gothic" w:eastAsia="Verdana" w:hAnsi="Century Gothic" w:cs="Verdana"/>
              </w:rPr>
              <w:t xml:space="preserve">del 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>A</w:t>
            </w:r>
            <w:r w:rsidRPr="00D563C5">
              <w:rPr>
                <w:rFonts w:ascii="Century Gothic" w:eastAsia="Verdana" w:hAnsi="Century Gothic" w:cs="Verdana"/>
                <w:b/>
              </w:rPr>
              <w:t>cuerdo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 xml:space="preserve"> de Cabildo </w:t>
            </w:r>
            <w:r w:rsidRPr="00D563C5">
              <w:rPr>
                <w:rFonts w:ascii="Century Gothic" w:eastAsia="Verdana" w:hAnsi="Century Gothic" w:cs="Verdana"/>
                <w:b/>
              </w:rPr>
              <w:t>número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 xml:space="preserve"> 1608/2021</w:t>
            </w:r>
            <w:r w:rsidRPr="00D563C5">
              <w:rPr>
                <w:rFonts w:ascii="Century Gothic" w:eastAsia="Verdana" w:hAnsi="Century Gothic" w:cs="Verdana"/>
              </w:rPr>
              <w:t xml:space="preserve">, 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>aprobado po</w:t>
            </w:r>
            <w:r w:rsidRPr="00D563C5">
              <w:rPr>
                <w:rFonts w:ascii="Century Gothic" w:eastAsia="Verdana" w:hAnsi="Century Gothic" w:cs="Verdana"/>
              </w:rPr>
              <w:t>r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 este Ayuntamiento de </w:t>
            </w:r>
            <w:r w:rsidRPr="00D563C5">
              <w:rPr>
                <w:rFonts w:ascii="Century Gothic" w:eastAsia="Verdana" w:hAnsi="Century Gothic" w:cs="Verdana"/>
              </w:rPr>
              <w:t>S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an Pedro Tlaquepaque </w:t>
            </w:r>
            <w:r w:rsidRPr="00D563C5">
              <w:rPr>
                <w:rFonts w:ascii="Century Gothic" w:eastAsia="Verdana" w:hAnsi="Century Gothic" w:cs="Verdana"/>
              </w:rPr>
              <w:t>con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 fecha </w:t>
            </w:r>
            <w:r w:rsidRPr="00D563C5">
              <w:rPr>
                <w:rFonts w:ascii="Century Gothic" w:eastAsia="Verdana" w:hAnsi="Century Gothic" w:cs="Verdana"/>
              </w:rPr>
              <w:t>1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>9 de enero de 2021</w:t>
            </w:r>
            <w:r w:rsidRPr="00D563C5">
              <w:rPr>
                <w:rFonts w:ascii="Century Gothic" w:eastAsia="Verdana" w:hAnsi="Century Gothic" w:cs="Verdana"/>
              </w:rPr>
              <w:t xml:space="preserve">, referente a la propuesta de la Presidenta Municipal, María Elena Limón García, que tiene por objeto </w:t>
            </w:r>
            <w:r w:rsidRPr="00D563C5">
              <w:rPr>
                <w:rFonts w:ascii="Century Gothic" w:eastAsia="Verdana" w:hAnsi="Century Gothic" w:cs="Verdana"/>
                <w:b/>
              </w:rPr>
              <w:t>“La adopción de medidas para prevenir y contener la pandemia del COVID-19 en las dependencias y entidades de la Administración Pública Municipal y establecer los criterios para suspensión de plazos, trámites y procedimientos relativos a su competencia”</w:t>
            </w:r>
            <w:r w:rsidRPr="00D563C5">
              <w:rPr>
                <w:rFonts w:ascii="Century Gothic" w:eastAsia="Verdana" w:hAnsi="Century Gothic" w:cs="Verdana"/>
              </w:rPr>
              <w:t xml:space="preserve"> que a la letra señala:</w:t>
            </w:r>
          </w:p>
          <w:p w:rsidR="009E33A5" w:rsidRPr="00D563C5" w:rsidRDefault="009E33A5" w:rsidP="009E33A5">
            <w:pPr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9E33A5" w:rsidRPr="00C67302" w:rsidRDefault="009E33A5" w:rsidP="009E33A5">
            <w:pPr>
              <w:pStyle w:val="Prrafodelista"/>
              <w:ind w:left="1080"/>
              <w:jc w:val="both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C67302">
              <w:rPr>
                <w:rFonts w:ascii="Century Gothic" w:eastAsia="Verdana" w:hAnsi="Century Gothic" w:cs="Verdana"/>
                <w:b/>
                <w:i/>
                <w:sz w:val="20"/>
                <w:szCs w:val="20"/>
              </w:rPr>
              <w:lastRenderedPageBreak/>
              <w:t xml:space="preserve">… </w:t>
            </w:r>
            <w:r w:rsidRPr="00C67302">
              <w:rPr>
                <w:rFonts w:ascii="Century Gothic" w:eastAsia="Verdana" w:hAnsi="Century Gothic" w:cs="Verdana"/>
                <w:i/>
                <w:sz w:val="20"/>
                <w:szCs w:val="20"/>
              </w:rPr>
              <w:t>“</w:t>
            </w:r>
            <w:r w:rsidRPr="00C67302">
              <w:rPr>
                <w:rFonts w:ascii="Century Gothic" w:eastAsia="Verdana" w:hAnsi="Century Gothic" w:cs="Verdana"/>
                <w:b/>
                <w:i/>
                <w:sz w:val="20"/>
                <w:szCs w:val="20"/>
              </w:rPr>
              <w:t xml:space="preserve">SEGUNDO.- </w:t>
            </w:r>
            <w:r w:rsidRPr="00C67302">
              <w:rPr>
                <w:rFonts w:ascii="Century Gothic" w:eastAsia="Verdana" w:hAnsi="Century Gothic" w:cs="Verdana"/>
                <w:i/>
                <w:sz w:val="20"/>
                <w:szCs w:val="20"/>
              </w:rPr>
              <w:t xml:space="preserve">El Ayuntamiento Constitucional de San Pedro Tlaquepaque, Jalisco, aprueba y autoriza </w:t>
            </w:r>
            <w:r w:rsidRPr="00C67302">
              <w:rPr>
                <w:rFonts w:ascii="Century Gothic" w:eastAsia="Verdana" w:hAnsi="Century Gothic" w:cs="Verdana"/>
                <w:b/>
                <w:i/>
                <w:sz w:val="20"/>
                <w:szCs w:val="20"/>
              </w:rPr>
              <w:t>la suspensión de plazos y términos administrativos</w:t>
            </w:r>
            <w:r w:rsidRPr="00C67302">
              <w:rPr>
                <w:rFonts w:ascii="Century Gothic" w:eastAsia="Verdana" w:hAnsi="Century Gothic" w:cs="Verdana"/>
                <w:i/>
                <w:sz w:val="20"/>
                <w:szCs w:val="20"/>
              </w:rPr>
              <w:t>, así como los que estén relacionados con los procedimientos de acceso a la información pública y protección de datos personales establecidos en la Ley de Transparencia y Acceso a la Información Pública del Estado de Jalisco y sus Municipios y la Ley de Protección de Datos Personales en Posesión de Sujetos Obligados del Estado de Jalisco y sus Municipios, del periodo comprendido del 20 de enero del año 2021 al 29 de enero del 2021.”</w:t>
            </w:r>
          </w:p>
          <w:p w:rsidR="009E33A5" w:rsidRDefault="009E33A5" w:rsidP="009E33A5">
            <w:pPr>
              <w:jc w:val="both"/>
              <w:rPr>
                <w:rFonts w:ascii="Century Gothic" w:eastAsia="Verdana" w:hAnsi="Century Gothic" w:cs="Verdana"/>
              </w:rPr>
            </w:pPr>
          </w:p>
          <w:p w:rsidR="009E33A5" w:rsidRPr="00E17D62" w:rsidRDefault="009E33A5" w:rsidP="00E17D62">
            <w:pPr>
              <w:jc w:val="both"/>
              <w:rPr>
                <w:rFonts w:ascii="Century Gothic" w:eastAsia="Verdana" w:hAnsi="Century Gothic" w:cs="Verdana"/>
              </w:rPr>
            </w:pPr>
            <w:r w:rsidRPr="00D563C5">
              <w:rPr>
                <w:rFonts w:ascii="Century Gothic" w:eastAsia="Verdana" w:hAnsi="Century Gothic" w:cs="Verdana"/>
              </w:rPr>
              <w:t>Por lo anteriormen</w:t>
            </w:r>
            <w:r w:rsidR="00A8397E">
              <w:rPr>
                <w:rFonts w:ascii="Century Gothic" w:eastAsia="Verdana" w:hAnsi="Century Gothic" w:cs="Verdana"/>
              </w:rPr>
              <w:t>te mencionado y toda vez que la Sesión de la Comisión Edilicia</w:t>
            </w:r>
            <w:r w:rsidRPr="00D563C5">
              <w:rPr>
                <w:rFonts w:ascii="Century Gothic" w:eastAsia="Verdana" w:hAnsi="Century Gothic" w:cs="Verdana"/>
              </w:rPr>
              <w:t xml:space="preserve"> que </w:t>
            </w:r>
            <w:r w:rsidR="00A8397E">
              <w:rPr>
                <w:rFonts w:ascii="Century Gothic" w:eastAsia="Verdana" w:hAnsi="Century Gothic" w:cs="Verdana"/>
              </w:rPr>
              <w:t>me honra Presidir se encontraba</w:t>
            </w:r>
            <w:r w:rsidRPr="00D563C5">
              <w:rPr>
                <w:rFonts w:ascii="Century Gothic" w:eastAsia="Verdana" w:hAnsi="Century Gothic" w:cs="Verdana"/>
              </w:rPr>
              <w:t xml:space="preserve"> programadas para días contenidos en la segunda quincena del mes de enero del año en curso, fin</w:t>
            </w:r>
            <w:r w:rsidR="00A8397E">
              <w:rPr>
                <w:rFonts w:ascii="Century Gothic" w:eastAsia="Verdana" w:hAnsi="Century Gothic" w:cs="Verdana"/>
              </w:rPr>
              <w:t>almente no fue posible llevarla</w:t>
            </w:r>
            <w:r w:rsidRPr="00D563C5">
              <w:rPr>
                <w:rFonts w:ascii="Century Gothic" w:eastAsia="Verdana" w:hAnsi="Century Gothic" w:cs="Verdana"/>
              </w:rPr>
              <w:t xml:space="preserve"> a cabo. </w:t>
            </w:r>
          </w:p>
        </w:tc>
      </w:tr>
      <w:tr w:rsidR="009E33A5" w:rsidTr="00B91095">
        <w:tc>
          <w:tcPr>
            <w:tcW w:w="3936" w:type="dxa"/>
          </w:tcPr>
          <w:p w:rsidR="009E33A5" w:rsidRDefault="009E33A5" w:rsidP="00B91095">
            <w:pPr>
              <w:tabs>
                <w:tab w:val="left" w:pos="1410"/>
              </w:tabs>
              <w:rPr>
                <w:rFonts w:ascii="Arial Black" w:hAnsi="Arial Black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lastRenderedPageBreak/>
              <w:t xml:space="preserve">Planeación Socioeconómica y Urbana </w:t>
            </w:r>
          </w:p>
        </w:tc>
        <w:tc>
          <w:tcPr>
            <w:tcW w:w="1701" w:type="dxa"/>
          </w:tcPr>
          <w:p w:rsidR="009E33A5" w:rsidRPr="00A75C13" w:rsidRDefault="009E33A5" w:rsidP="009E33A5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Febrero</w:t>
            </w:r>
          </w:p>
        </w:tc>
        <w:tc>
          <w:tcPr>
            <w:tcW w:w="7509" w:type="dxa"/>
          </w:tcPr>
          <w:p w:rsidR="009E33A5" w:rsidRPr="006C008F" w:rsidRDefault="009E33A5" w:rsidP="009E33A5">
            <w:pPr>
              <w:ind w:right="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4F7">
              <w:rPr>
                <w:rFonts w:ascii="Arial" w:hAnsi="Arial" w:cs="Arial"/>
                <w:sz w:val="24"/>
                <w:szCs w:val="24"/>
              </w:rPr>
              <w:t>Informe respecto al periodo de la Consulta Pública para el Proyecto de actualización de los instrumentos de planeación municipal: Plan de desarrollo Urbano de Centro de Población y Planes Parciales de Desarrollo Urbano.</w:t>
            </w:r>
          </w:p>
        </w:tc>
      </w:tr>
      <w:tr w:rsidR="009E33A5" w:rsidTr="00B91095">
        <w:tc>
          <w:tcPr>
            <w:tcW w:w="3936" w:type="dxa"/>
          </w:tcPr>
          <w:p w:rsidR="009E33A5" w:rsidRDefault="009E33A5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E33A5" w:rsidRDefault="009E33A5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Planeación Socioeconómica y Urbana</w:t>
            </w:r>
            <w:r w:rsidR="00FD1F84">
              <w:rPr>
                <w:rFonts w:ascii="Arial" w:hAnsi="Arial" w:cs="Arial"/>
                <w:sz w:val="24"/>
                <w:szCs w:val="24"/>
              </w:rPr>
              <w:t xml:space="preserve"> en conjunto con Nomenclatura</w:t>
            </w:r>
          </w:p>
          <w:p w:rsidR="009E33A5" w:rsidRDefault="009E33A5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E33A5" w:rsidRPr="00A75C13" w:rsidRDefault="009E33A5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A5" w:rsidRDefault="009E33A5" w:rsidP="00B91095">
            <w:pPr>
              <w:tabs>
                <w:tab w:val="left" w:pos="1410"/>
              </w:tabs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 Marzo</w:t>
            </w:r>
          </w:p>
        </w:tc>
        <w:tc>
          <w:tcPr>
            <w:tcW w:w="7509" w:type="dxa"/>
          </w:tcPr>
          <w:p w:rsidR="009E33A5" w:rsidRPr="006C008F" w:rsidRDefault="00E17D62" w:rsidP="00B91095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Estudio, análisis y en su caso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dictaminación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turno asignado bajo el número 1082/2019/TC que corresponde a la propuesta de la Regularización y validación de la calle de conocida por los vecinos de la zona como “Camino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Toluquilla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ubicada entre las calles Cristóbal Colón y Las Rosas en la colonia Guadalupe Ejidal  </w:t>
            </w:r>
          </w:p>
        </w:tc>
      </w:tr>
    </w:tbl>
    <w:p w:rsidR="009E33A5" w:rsidRDefault="009E33A5" w:rsidP="009E33A5">
      <w:pPr>
        <w:tabs>
          <w:tab w:val="left" w:pos="1410"/>
        </w:tabs>
        <w:rPr>
          <w:rFonts w:ascii="Arial Black" w:hAnsi="Arial Black"/>
          <w:u w:val="single"/>
        </w:rPr>
      </w:pPr>
    </w:p>
    <w:p w:rsidR="009E33A5" w:rsidRPr="00E644A5" w:rsidRDefault="009E33A5" w:rsidP="009E33A5">
      <w:pPr>
        <w:pStyle w:val="Prrafodelista"/>
        <w:framePr w:hSpace="141" w:wrap="around" w:vAnchor="text" w:hAnchor="margin" w:y="188"/>
        <w:tabs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17990" w:rsidRPr="00317990" w:rsidRDefault="009E33A5" w:rsidP="00A8397E">
      <w:pPr>
        <w:pStyle w:val="Prrafodelista"/>
        <w:numPr>
          <w:ilvl w:val="0"/>
          <w:numId w:val="1"/>
        </w:numPr>
      </w:pPr>
      <w:r w:rsidRPr="00A839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consulta de las actividades realizadas durante el periodo de </w:t>
      </w:r>
      <w:r w:rsidR="00FD1F84" w:rsidRPr="00A8397E">
        <w:rPr>
          <w:rFonts w:ascii="Arial" w:eastAsia="Times New Roman" w:hAnsi="Arial" w:cs="Arial"/>
          <w:sz w:val="24"/>
          <w:szCs w:val="24"/>
          <w:lang w:val="es-ES" w:eastAsia="es-ES"/>
        </w:rPr>
        <w:t>Enero a Marzo</w:t>
      </w:r>
      <w:r w:rsidRPr="00A839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se encuentran en el link: </w:t>
      </w:r>
      <w:hyperlink r:id="rId8" w:history="1">
        <w:r w:rsidRPr="00A8397E">
          <w:rPr>
            <w:rStyle w:val="Hipervnculo"/>
            <w:rFonts w:ascii="Arial" w:hAnsi="Arial" w:cs="Arial"/>
          </w:rPr>
          <w:t>https://transparencia.tlaquepaque.gob.mx/agenda/agenda-diaria-actividades-regidores/</w:t>
        </w:r>
      </w:hyperlink>
      <w:bookmarkStart w:id="0" w:name="_GoBack"/>
      <w:bookmarkEnd w:id="0"/>
    </w:p>
    <w:sectPr w:rsidR="00317990" w:rsidRPr="00317990" w:rsidSect="00E17D62">
      <w:headerReference w:type="default" r:id="rId9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84" w:rsidRDefault="00FD1F84" w:rsidP="00FD1F84">
      <w:pPr>
        <w:spacing w:after="0" w:line="240" w:lineRule="auto"/>
      </w:pPr>
      <w:r>
        <w:separator/>
      </w:r>
    </w:p>
  </w:endnote>
  <w:endnote w:type="continuationSeparator" w:id="0">
    <w:p w:rsidR="00FD1F84" w:rsidRDefault="00FD1F84" w:rsidP="00F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84" w:rsidRDefault="00FD1F84" w:rsidP="00FD1F84">
      <w:pPr>
        <w:spacing w:after="0" w:line="240" w:lineRule="auto"/>
      </w:pPr>
      <w:r>
        <w:separator/>
      </w:r>
    </w:p>
  </w:footnote>
  <w:footnote w:type="continuationSeparator" w:id="0">
    <w:p w:rsidR="00FD1F84" w:rsidRDefault="00FD1F84" w:rsidP="00FD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84" w:rsidRDefault="00FD1F84">
    <w:pPr>
      <w:pStyle w:val="Encabezado"/>
    </w:pPr>
    <w:r>
      <w:rPr>
        <w:noProof/>
        <w:lang w:eastAsia="es-MX"/>
      </w:rPr>
      <w:drawing>
        <wp:inline distT="0" distB="0" distL="0" distR="0" wp14:anchorId="067DCA65" wp14:editId="22CA261D">
          <wp:extent cx="1333500" cy="904875"/>
          <wp:effectExtent l="0" t="0" r="0" b="9525"/>
          <wp:docPr id="2" name="Imagen 2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4DA76" wp14:editId="60DDB5FC">
              <wp:simplePos x="0" y="0"/>
              <wp:positionH relativeFrom="margin">
                <wp:posOffset>8282305</wp:posOffset>
              </wp:positionH>
              <wp:positionV relativeFrom="topMargin">
                <wp:posOffset>447675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FD1F84" w:rsidRPr="00B272F8" w:rsidRDefault="00FD1F84" w:rsidP="00FD1F84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Pr="00B272F8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C67302" w:rsidRPr="00C67302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B272F8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6" style="position:absolute;margin-left:652.15pt;margin-top:35.2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 w:rsidR="00FD1F84" w:rsidRPr="00B272F8" w:rsidRDefault="00FD1F84" w:rsidP="00FD1F84"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272F8"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 w:rsidRPr="00B272F8">
                      <w:rPr>
                        <w:color w:val="000000" w:themeColor="text1"/>
                      </w:rPr>
                      <w:instrText>PAGE    \* MERGEFORMAT</w:instrText>
                    </w:r>
                    <w:r w:rsidRPr="00B272F8"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 w:rsidR="00C67302" w:rsidRPr="00C67302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2</w:t>
                    </w:r>
                    <w:r w:rsidRPr="00B272F8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104"/>
    <w:multiLevelType w:val="hybridMultilevel"/>
    <w:tmpl w:val="74C8AD72"/>
    <w:lvl w:ilvl="0" w:tplc="78A009A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C"/>
    <w:rsid w:val="00317990"/>
    <w:rsid w:val="003D56F4"/>
    <w:rsid w:val="009E33A5"/>
    <w:rsid w:val="00A5296C"/>
    <w:rsid w:val="00A8397E"/>
    <w:rsid w:val="00C67302"/>
    <w:rsid w:val="00E146F4"/>
    <w:rsid w:val="00E17D62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33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3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84"/>
  </w:style>
  <w:style w:type="paragraph" w:styleId="Piedepgina">
    <w:name w:val="footer"/>
    <w:basedOn w:val="Normal"/>
    <w:link w:val="PiedepginaCar"/>
    <w:uiPriority w:val="99"/>
    <w:unhideWhenUsed/>
    <w:rsid w:val="00FD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33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3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84"/>
  </w:style>
  <w:style w:type="paragraph" w:styleId="Piedepgina">
    <w:name w:val="footer"/>
    <w:basedOn w:val="Normal"/>
    <w:link w:val="PiedepginaCar"/>
    <w:uiPriority w:val="99"/>
    <w:unhideWhenUsed/>
    <w:rsid w:val="00FD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agenda/agenda-diaria-actividades-regido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Roberto Plascencia</cp:lastModifiedBy>
  <cp:revision>2</cp:revision>
  <dcterms:created xsi:type="dcterms:W3CDTF">2021-04-15T17:33:00Z</dcterms:created>
  <dcterms:modified xsi:type="dcterms:W3CDTF">2021-04-15T19:10:00Z</dcterms:modified>
</cp:coreProperties>
</file>