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23" w:rsidRDefault="00745623" w:rsidP="00745623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INFORME TRIMESTRAL DE ACTIVIDADES</w:t>
      </w:r>
    </w:p>
    <w:p w:rsidR="00745623" w:rsidRDefault="00745623" w:rsidP="00745623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szCs w:val="28"/>
        </w:rPr>
        <w:t xml:space="preserve"> ABRIL-JUNIO 2020.</w:t>
      </w:r>
    </w:p>
    <w:p w:rsidR="00745623" w:rsidRDefault="00745623" w:rsidP="00745623">
      <w:pPr>
        <w:spacing w:after="0"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COMISIÓN EDILICIA DE PROMOCIÓN ECONÓMICA.</w:t>
      </w:r>
    </w:p>
    <w:p w:rsidR="00745623" w:rsidRDefault="00745623" w:rsidP="00745623">
      <w:pPr>
        <w:jc w:val="both"/>
        <w:rPr>
          <w:rFonts w:ascii="Century Gothic" w:hAnsi="Century Gothic"/>
          <w:b/>
        </w:rPr>
      </w:pPr>
    </w:p>
    <w:p w:rsidR="00745623" w:rsidRPr="00B52F84" w:rsidRDefault="00745623" w:rsidP="00745623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B52F84">
        <w:rPr>
          <w:rFonts w:ascii="Century Gothic" w:hAnsi="Century Gothic"/>
          <w:sz w:val="24"/>
          <w:szCs w:val="24"/>
        </w:rPr>
        <w:t xml:space="preserve">En cumplimiento a lo establecido por el Artículo 87 fracción X del Reglamento del Gobierno y de la Administración Pública del Ayuntamiento Constitucional de San Pedro Tlaquepaque y a lo establecido en el Artículo </w:t>
      </w:r>
      <w:bookmarkStart w:id="0" w:name="_GoBack"/>
      <w:r w:rsidRPr="00B52F84">
        <w:rPr>
          <w:rFonts w:ascii="Century Gothic" w:hAnsi="Century Gothic"/>
          <w:sz w:val="24"/>
          <w:szCs w:val="24"/>
        </w:rPr>
        <w:t xml:space="preserve">8, Fracción VI, inciso l) </w:t>
      </w:r>
      <w:bookmarkEnd w:id="0"/>
      <w:r w:rsidRPr="00B52F84">
        <w:rPr>
          <w:rFonts w:ascii="Century Gothic" w:hAnsi="Century Gothic"/>
          <w:sz w:val="24"/>
          <w:szCs w:val="24"/>
        </w:rPr>
        <w:t xml:space="preserve">de la Ley de Transparencia y Acceso a la Información Pública del Estado de Jalisco y sus Municipios. </w:t>
      </w:r>
    </w:p>
    <w:p w:rsidR="00745623" w:rsidRPr="00B52F84" w:rsidRDefault="00745623" w:rsidP="00745623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:rsidR="00745623" w:rsidRPr="00B52F84" w:rsidRDefault="00745623" w:rsidP="00745623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B52F84">
        <w:rPr>
          <w:rFonts w:ascii="Century Gothic" w:hAnsi="Century Gothic"/>
          <w:sz w:val="24"/>
          <w:szCs w:val="24"/>
        </w:rPr>
        <w:t>En mi calidad de Presidente de la Comisión Edilicia de Promoción Económica, me permito rendir el informe trimestral de actividades realizadas en la misma.</w:t>
      </w:r>
    </w:p>
    <w:p w:rsidR="00575F0A" w:rsidRPr="00B52F84" w:rsidRDefault="00CE3612">
      <w:pPr>
        <w:rPr>
          <w:sz w:val="24"/>
          <w:szCs w:val="24"/>
        </w:rPr>
      </w:pPr>
    </w:p>
    <w:p w:rsidR="00745623" w:rsidRPr="00B52F84" w:rsidRDefault="00745623" w:rsidP="00745623">
      <w:pPr>
        <w:jc w:val="both"/>
        <w:rPr>
          <w:rFonts w:ascii="Century Gothic" w:hAnsi="Century Gothic"/>
          <w:b/>
          <w:sz w:val="24"/>
          <w:szCs w:val="24"/>
        </w:rPr>
      </w:pPr>
      <w:r w:rsidRPr="00B52F84">
        <w:rPr>
          <w:rFonts w:ascii="Century Gothic" w:hAnsi="Century Gothic"/>
          <w:b/>
          <w:sz w:val="24"/>
          <w:szCs w:val="24"/>
        </w:rPr>
        <w:t>INTEGRANTES: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979"/>
        <w:gridCol w:w="2676"/>
      </w:tblGrid>
      <w:tr w:rsidR="00745623" w:rsidRPr="00B52F84" w:rsidTr="00055400">
        <w:trPr>
          <w:trHeight w:val="281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23" w:rsidRPr="00B52F84" w:rsidRDefault="00745623" w:rsidP="00055400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 xml:space="preserve">Regidor Jorge Antonio Chávez Ambriz.       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23" w:rsidRPr="00B52F84" w:rsidRDefault="00745623" w:rsidP="00055400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>Presidente</w:t>
            </w:r>
          </w:p>
        </w:tc>
      </w:tr>
      <w:tr w:rsidR="00745623" w:rsidRPr="00B52F84" w:rsidTr="00055400">
        <w:trPr>
          <w:trHeight w:val="281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23" w:rsidRPr="00B52F84" w:rsidRDefault="00745623" w:rsidP="00055400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 xml:space="preserve">Regidora Hogla Bustos Serrano.                    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23" w:rsidRPr="00B52F84" w:rsidRDefault="00745623" w:rsidP="00055400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>Vocal</w:t>
            </w:r>
          </w:p>
        </w:tc>
      </w:tr>
      <w:tr w:rsidR="00745623" w:rsidRPr="00B52F84" w:rsidTr="00055400">
        <w:trPr>
          <w:trHeight w:val="265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23" w:rsidRPr="00B52F84" w:rsidRDefault="00745623" w:rsidP="00055400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>Regidor Alberto Alfaro García.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23" w:rsidRPr="00B52F84" w:rsidRDefault="00745623" w:rsidP="00055400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>Vocal</w:t>
            </w:r>
          </w:p>
        </w:tc>
      </w:tr>
      <w:tr w:rsidR="00745623" w:rsidRPr="00B52F84" w:rsidTr="00055400">
        <w:trPr>
          <w:trHeight w:val="296"/>
        </w:trPr>
        <w:tc>
          <w:tcPr>
            <w:tcW w:w="4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23" w:rsidRPr="00B52F84" w:rsidRDefault="00745623" w:rsidP="00055400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>Regidor Francisco Juárez Piña.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23" w:rsidRPr="00B52F84" w:rsidRDefault="00745623" w:rsidP="00055400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2F84">
              <w:rPr>
                <w:rFonts w:ascii="Century Gothic" w:hAnsi="Century Gothic"/>
                <w:sz w:val="24"/>
                <w:szCs w:val="24"/>
              </w:rPr>
              <w:t>Vocal</w:t>
            </w:r>
          </w:p>
        </w:tc>
      </w:tr>
    </w:tbl>
    <w:p w:rsidR="00745623" w:rsidRPr="00B52F84" w:rsidRDefault="00745623" w:rsidP="00745623">
      <w:pPr>
        <w:rPr>
          <w:sz w:val="24"/>
          <w:szCs w:val="24"/>
        </w:rPr>
      </w:pPr>
    </w:p>
    <w:p w:rsidR="00745623" w:rsidRPr="00B52F84" w:rsidRDefault="00842CAA" w:rsidP="00745623">
      <w:pPr>
        <w:spacing w:after="0" w:line="276" w:lineRule="auto"/>
        <w:jc w:val="both"/>
        <w:rPr>
          <w:rFonts w:ascii="Century Gothic" w:eastAsiaTheme="minorEastAsia" w:hAnsi="Century Gothic"/>
          <w:b/>
          <w:sz w:val="24"/>
          <w:szCs w:val="24"/>
          <w:lang w:eastAsia="es-MX"/>
        </w:rPr>
      </w:pPr>
      <w:r w:rsidRPr="00B52F84">
        <w:rPr>
          <w:rFonts w:ascii="Century Gothic" w:eastAsiaTheme="minorEastAsia" w:hAnsi="Century Gothic"/>
          <w:b/>
          <w:sz w:val="24"/>
          <w:szCs w:val="24"/>
          <w:lang w:eastAsia="es-MX"/>
        </w:rPr>
        <w:t>TRABAJO EN COMISIÓN</w:t>
      </w:r>
    </w:p>
    <w:p w:rsidR="00842CAA" w:rsidRPr="00745623" w:rsidRDefault="00842CAA" w:rsidP="00745623">
      <w:pPr>
        <w:spacing w:after="0" w:line="276" w:lineRule="auto"/>
        <w:jc w:val="both"/>
        <w:rPr>
          <w:rFonts w:ascii="Century Gothic" w:eastAsiaTheme="minorEastAsia" w:hAnsi="Century Gothic"/>
          <w:b/>
          <w:sz w:val="24"/>
          <w:szCs w:val="24"/>
          <w:lang w:eastAsia="es-MX"/>
        </w:rPr>
      </w:pPr>
    </w:p>
    <w:p w:rsidR="009B2B61" w:rsidRDefault="002A4359" w:rsidP="00745623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  <w:r w:rsidRPr="00B52F84">
        <w:rPr>
          <w:rFonts w:ascii="Century Gothic" w:eastAsiaTheme="minorEastAsia" w:hAnsi="Century Gothic" w:cs="Arial"/>
          <w:sz w:val="24"/>
          <w:szCs w:val="24"/>
          <w:lang w:eastAsia="es-MX"/>
        </w:rPr>
        <w:t>D</w:t>
      </w:r>
      <w:r w:rsidR="00745623" w:rsidRPr="00745623">
        <w:rPr>
          <w:rFonts w:ascii="Century Gothic" w:eastAsiaTheme="minorEastAsia" w:hAnsi="Century Gothic" w:cs="Arial"/>
          <w:sz w:val="24"/>
          <w:szCs w:val="24"/>
          <w:lang w:eastAsia="es-MX"/>
        </w:rPr>
        <w:t>ebido a la contingencia sanitaria derivado del COVID-19 y atendiendo las med</w:t>
      </w:r>
      <w:r w:rsidR="00EF3246" w:rsidRPr="00B52F84">
        <w:rPr>
          <w:rFonts w:ascii="Century Gothic" w:eastAsiaTheme="minorEastAsia" w:hAnsi="Century Gothic" w:cs="Arial"/>
          <w:sz w:val="24"/>
          <w:szCs w:val="24"/>
          <w:lang w:eastAsia="es-MX"/>
        </w:rPr>
        <w:t>idas preve</w:t>
      </w:r>
      <w:r w:rsidR="00775A5A">
        <w:rPr>
          <w:rFonts w:ascii="Century Gothic" w:eastAsiaTheme="minorEastAsia" w:hAnsi="Century Gothic" w:cs="Arial"/>
          <w:sz w:val="24"/>
          <w:szCs w:val="24"/>
          <w:lang w:eastAsia="es-MX"/>
        </w:rPr>
        <w:t>ntivas</w:t>
      </w:r>
      <w:r w:rsidR="00EF3246" w:rsidRPr="00B52F84">
        <w:rPr>
          <w:rFonts w:ascii="Century Gothic" w:eastAsiaTheme="minorEastAsia" w:hAnsi="Century Gothic" w:cs="Arial"/>
          <w:sz w:val="24"/>
          <w:szCs w:val="24"/>
          <w:lang w:eastAsia="es-MX"/>
        </w:rPr>
        <w:t>,</w:t>
      </w:r>
      <w:r w:rsidR="00745623" w:rsidRPr="00745623">
        <w:rPr>
          <w:rFonts w:ascii="Century Gothic" w:eastAsiaTheme="minorEastAsia" w:hAnsi="Century Gothic"/>
          <w:sz w:val="24"/>
          <w:szCs w:val="24"/>
          <w:lang w:eastAsia="es-MX"/>
        </w:rPr>
        <w:t xml:space="preserve"> </w:t>
      </w:r>
      <w:r w:rsidR="00EF3246" w:rsidRPr="00B52F84">
        <w:rPr>
          <w:rFonts w:ascii="Century Gothic" w:eastAsiaTheme="minorEastAsia" w:hAnsi="Century Gothic" w:cs="Arial"/>
          <w:sz w:val="24"/>
          <w:szCs w:val="24"/>
          <w:lang w:eastAsia="es-MX"/>
        </w:rPr>
        <w:t>e</w:t>
      </w:r>
      <w:r w:rsidRPr="00B52F84">
        <w:rPr>
          <w:rFonts w:ascii="Century Gothic" w:eastAsiaTheme="minorEastAsia" w:hAnsi="Century Gothic" w:cs="Arial"/>
          <w:sz w:val="24"/>
          <w:szCs w:val="24"/>
          <w:lang w:eastAsia="es-MX"/>
        </w:rPr>
        <w:t>n e</w:t>
      </w:r>
      <w:r w:rsidRPr="00745623">
        <w:rPr>
          <w:rFonts w:ascii="Century Gothic" w:eastAsiaTheme="minorEastAsia" w:hAnsi="Century Gothic" w:cs="Arial"/>
          <w:sz w:val="24"/>
          <w:szCs w:val="24"/>
          <w:lang w:eastAsia="es-MX"/>
        </w:rPr>
        <w:t>l trimestre de Abril-Junio 2020</w:t>
      </w:r>
      <w:r w:rsidR="00EF3246" w:rsidRPr="00B52F84">
        <w:rPr>
          <w:rFonts w:ascii="Century Gothic" w:eastAsiaTheme="minorEastAsia" w:hAnsi="Century Gothic" w:cs="Arial"/>
          <w:sz w:val="24"/>
          <w:szCs w:val="24"/>
          <w:lang w:eastAsia="es-MX"/>
        </w:rPr>
        <w:t xml:space="preserve">, </w:t>
      </w:r>
      <w:r w:rsidR="00745623" w:rsidRPr="00745623">
        <w:rPr>
          <w:rFonts w:ascii="Century Gothic" w:eastAsiaTheme="minorEastAsia" w:hAnsi="Century Gothic"/>
          <w:sz w:val="24"/>
          <w:szCs w:val="24"/>
          <w:lang w:eastAsia="es-MX"/>
        </w:rPr>
        <w:t>la Comisión</w:t>
      </w:r>
      <w:r w:rsidR="00EF3246" w:rsidRPr="00B52F84">
        <w:rPr>
          <w:rFonts w:ascii="Century Gothic" w:eastAsiaTheme="minorEastAsia" w:hAnsi="Century Gothic"/>
          <w:sz w:val="24"/>
          <w:szCs w:val="24"/>
          <w:lang w:eastAsia="es-MX"/>
        </w:rPr>
        <w:t xml:space="preserve"> Edilicia de Promoción Económica</w:t>
      </w:r>
      <w:r w:rsidR="00AE226E">
        <w:rPr>
          <w:rFonts w:ascii="Century Gothic" w:eastAsiaTheme="minorEastAsia" w:hAnsi="Century Gothic"/>
          <w:sz w:val="24"/>
          <w:szCs w:val="24"/>
          <w:lang w:eastAsia="es-MX"/>
        </w:rPr>
        <w:t xml:space="preserve"> coadyuvando</w:t>
      </w:r>
      <w:r w:rsidR="00DC4B2C">
        <w:rPr>
          <w:rFonts w:ascii="Century Gothic" w:eastAsiaTheme="minorEastAsia" w:hAnsi="Century Gothic"/>
          <w:sz w:val="24"/>
          <w:szCs w:val="24"/>
          <w:lang w:eastAsia="es-MX"/>
        </w:rPr>
        <w:t xml:space="preserve"> con la Coordinación General de Desarrollo Económico y Combate a la desigualdad</w:t>
      </w:r>
      <w:r w:rsidR="00282F01" w:rsidRPr="00B52F84">
        <w:rPr>
          <w:rFonts w:ascii="Century Gothic" w:eastAsiaTheme="minorEastAsia" w:hAnsi="Century Gothic"/>
          <w:sz w:val="24"/>
          <w:szCs w:val="24"/>
          <w:lang w:eastAsia="es-MX"/>
        </w:rPr>
        <w:t xml:space="preserve"> se </w:t>
      </w:r>
      <w:r w:rsidR="00DC4B2C">
        <w:rPr>
          <w:rFonts w:ascii="Century Gothic" w:eastAsiaTheme="minorEastAsia" w:hAnsi="Century Gothic"/>
          <w:sz w:val="24"/>
          <w:szCs w:val="24"/>
          <w:lang w:eastAsia="es-MX"/>
        </w:rPr>
        <w:t>mantuvo al tanto de los avances de los Programas sociales municipales “Hecho a mano por mujeres de San Pedro Tlaquepaque”</w:t>
      </w:r>
      <w:r w:rsidR="009B2B61">
        <w:rPr>
          <w:rFonts w:ascii="Century Gothic" w:eastAsiaTheme="minorEastAsia" w:hAnsi="Century Gothic"/>
          <w:sz w:val="24"/>
          <w:szCs w:val="24"/>
          <w:lang w:eastAsia="es-MX"/>
        </w:rPr>
        <w:t xml:space="preserve"> (Hecho con Amor) y</w:t>
      </w:r>
      <w:r w:rsidR="00DC4B2C">
        <w:rPr>
          <w:rFonts w:ascii="Century Gothic" w:eastAsiaTheme="minorEastAsia" w:hAnsi="Century Gothic"/>
          <w:sz w:val="24"/>
          <w:szCs w:val="24"/>
          <w:lang w:eastAsia="es-MX"/>
        </w:rPr>
        <w:t xml:space="preserve"> “Becas para Estancias Infantiles” (Por lo que más quieres</w:t>
      </w:r>
      <w:r w:rsidR="009B2B61">
        <w:rPr>
          <w:rFonts w:ascii="Century Gothic" w:eastAsiaTheme="minorEastAsia" w:hAnsi="Century Gothic"/>
          <w:sz w:val="24"/>
          <w:szCs w:val="24"/>
          <w:lang w:eastAsia="es-MX"/>
        </w:rPr>
        <w:t>).</w:t>
      </w:r>
    </w:p>
    <w:p w:rsidR="009B2B61" w:rsidRDefault="007C5953" w:rsidP="00745623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  <w:r>
        <w:rPr>
          <w:rFonts w:ascii="Century Gothic" w:eastAsiaTheme="minorEastAsia" w:hAnsi="Century Gothic"/>
          <w:sz w:val="24"/>
          <w:szCs w:val="24"/>
          <w:lang w:eastAsia="es-MX"/>
        </w:rPr>
        <w:t>En los avances d</w:t>
      </w:r>
      <w:r w:rsidR="009B2B61">
        <w:rPr>
          <w:rFonts w:ascii="Century Gothic" w:eastAsiaTheme="minorEastAsia" w:hAnsi="Century Gothic"/>
          <w:sz w:val="24"/>
          <w:szCs w:val="24"/>
          <w:lang w:eastAsia="es-MX"/>
        </w:rPr>
        <w:t>el programa “Hecho con Amor”, se han realizado un total de 937 solicitudes, 584 entrevistas diagnósticas aplicadas y 580 visitas domiciliarias.</w:t>
      </w:r>
    </w:p>
    <w:p w:rsidR="007C5953" w:rsidRDefault="009B2B61" w:rsidP="00745623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  <w:r>
        <w:rPr>
          <w:rFonts w:ascii="Century Gothic" w:eastAsiaTheme="minorEastAsia" w:hAnsi="Century Gothic"/>
          <w:sz w:val="24"/>
          <w:szCs w:val="24"/>
          <w:lang w:eastAsia="es-MX"/>
        </w:rPr>
        <w:t>Cuenta con una inversión municipal de $14´800,000.00</w:t>
      </w:r>
      <w:r w:rsidR="007C5953">
        <w:rPr>
          <w:rFonts w:ascii="Century Gothic" w:eastAsiaTheme="minorEastAsia" w:hAnsi="Century Gothic"/>
          <w:sz w:val="24"/>
          <w:szCs w:val="24"/>
          <w:lang w:eastAsia="es-MX"/>
        </w:rPr>
        <w:t>.</w:t>
      </w:r>
    </w:p>
    <w:p w:rsidR="009B2B61" w:rsidRDefault="007C5953" w:rsidP="00745623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  <w:r>
        <w:rPr>
          <w:rFonts w:ascii="Century Gothic" w:eastAsiaTheme="minorEastAsia" w:hAnsi="Century Gothic"/>
          <w:sz w:val="24"/>
          <w:szCs w:val="24"/>
          <w:lang w:eastAsia="es-MX"/>
        </w:rPr>
        <w:t>C</w:t>
      </w:r>
      <w:r w:rsidR="009B2B61">
        <w:rPr>
          <w:rFonts w:ascii="Century Gothic" w:eastAsiaTheme="minorEastAsia" w:hAnsi="Century Gothic"/>
          <w:sz w:val="24"/>
          <w:szCs w:val="24"/>
          <w:lang w:eastAsia="es-MX"/>
        </w:rPr>
        <w:t>on una sola convocatoria publicada en el mes de Febrero.</w:t>
      </w:r>
    </w:p>
    <w:p w:rsidR="009B2B61" w:rsidRDefault="009B2B61" w:rsidP="00745623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</w:p>
    <w:p w:rsidR="009B2B61" w:rsidRDefault="009B2B61" w:rsidP="00745623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</w:p>
    <w:p w:rsidR="009B2B61" w:rsidRDefault="009B2B61" w:rsidP="00745623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  <w:r>
        <w:rPr>
          <w:rFonts w:ascii="Century Gothic" w:eastAsiaTheme="minorEastAsia" w:hAnsi="Century Gothic"/>
          <w:sz w:val="24"/>
          <w:szCs w:val="24"/>
          <w:lang w:eastAsia="es-MX"/>
        </w:rPr>
        <w:t xml:space="preserve"> </w:t>
      </w:r>
    </w:p>
    <w:p w:rsidR="009B2B61" w:rsidRDefault="009B2B61" w:rsidP="00745623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</w:p>
    <w:p w:rsidR="009B2B61" w:rsidRDefault="009B2B61" w:rsidP="00745623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  <w:r>
        <w:rPr>
          <w:rFonts w:ascii="Century Gothic" w:eastAsiaTheme="minorEastAsia" w:hAnsi="Century Gothic"/>
          <w:sz w:val="24"/>
          <w:szCs w:val="24"/>
          <w:lang w:eastAsia="es-MX"/>
        </w:rPr>
        <w:t>En el mes de Julio se definirá el padrón de beneficiarias, en la primera semana de Agosto se tiene contemplada la primera capacitación.</w:t>
      </w:r>
    </w:p>
    <w:p w:rsidR="009B2B61" w:rsidRDefault="009B2B61" w:rsidP="00745623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</w:p>
    <w:p w:rsidR="009B2B61" w:rsidRDefault="007C5953" w:rsidP="00745623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  <w:r>
        <w:rPr>
          <w:rFonts w:ascii="Century Gothic" w:eastAsiaTheme="minorEastAsia" w:hAnsi="Century Gothic"/>
          <w:sz w:val="24"/>
          <w:szCs w:val="24"/>
          <w:lang w:eastAsia="es-MX"/>
        </w:rPr>
        <w:t xml:space="preserve">En los avances del programa “Por lo que más quieres”, </w:t>
      </w:r>
      <w:r w:rsidR="00453418">
        <w:rPr>
          <w:rFonts w:ascii="Century Gothic" w:eastAsiaTheme="minorEastAsia" w:hAnsi="Century Gothic"/>
          <w:sz w:val="24"/>
          <w:szCs w:val="24"/>
          <w:lang w:eastAsia="es-MX"/>
        </w:rPr>
        <w:t>se llevan registradas 503 solicitudes a partir de la publicación de la convocatoria emitida en Enero del presente año.</w:t>
      </w:r>
    </w:p>
    <w:p w:rsidR="00282F01" w:rsidRPr="00B52F84" w:rsidRDefault="00282F01" w:rsidP="00282F01">
      <w:pPr>
        <w:jc w:val="both"/>
        <w:rPr>
          <w:rFonts w:ascii="Century Gothic" w:hAnsi="Century Gothic"/>
          <w:b/>
          <w:sz w:val="24"/>
          <w:szCs w:val="24"/>
        </w:rPr>
      </w:pPr>
    </w:p>
    <w:p w:rsidR="00282F01" w:rsidRPr="00B52F84" w:rsidRDefault="00282F01" w:rsidP="00282F01">
      <w:pPr>
        <w:jc w:val="both"/>
        <w:rPr>
          <w:rFonts w:ascii="Century Gothic" w:hAnsi="Century Gothic"/>
          <w:b/>
          <w:sz w:val="24"/>
          <w:szCs w:val="24"/>
        </w:rPr>
      </w:pPr>
      <w:r w:rsidRPr="00B52F84">
        <w:rPr>
          <w:rFonts w:ascii="Century Gothic" w:hAnsi="Century Gothic"/>
          <w:b/>
          <w:sz w:val="24"/>
          <w:szCs w:val="24"/>
        </w:rPr>
        <w:t xml:space="preserve">ACCIONES REALIZADAS </w:t>
      </w:r>
    </w:p>
    <w:p w:rsidR="00622ED6" w:rsidRDefault="0065400A" w:rsidP="00622ED6">
      <w:pPr>
        <w:jc w:val="both"/>
        <w:rPr>
          <w:rFonts w:ascii="Century Gothic" w:hAnsi="Century Gothic"/>
          <w:sz w:val="24"/>
          <w:szCs w:val="24"/>
        </w:rPr>
      </w:pPr>
      <w:r w:rsidRPr="00B52F84">
        <w:rPr>
          <w:rFonts w:ascii="Century Gothic" w:hAnsi="Century Gothic"/>
          <w:sz w:val="24"/>
          <w:szCs w:val="24"/>
        </w:rPr>
        <w:t>Dur</w:t>
      </w:r>
      <w:r w:rsidR="00C51361">
        <w:rPr>
          <w:rFonts w:ascii="Century Gothic" w:hAnsi="Century Gothic"/>
          <w:sz w:val="24"/>
          <w:szCs w:val="24"/>
        </w:rPr>
        <w:t>ante este periodo se analizaron</w:t>
      </w:r>
      <w:r w:rsidRPr="00B52F84">
        <w:rPr>
          <w:rFonts w:ascii="Century Gothic" w:hAnsi="Century Gothic"/>
          <w:sz w:val="24"/>
          <w:szCs w:val="24"/>
        </w:rPr>
        <w:t xml:space="preserve"> estrategias para fortalecer el sector económico en virtud de </w:t>
      </w:r>
      <w:r w:rsidR="00074C16" w:rsidRPr="00B52F84">
        <w:rPr>
          <w:rFonts w:ascii="Century Gothic" w:hAnsi="Century Gothic"/>
          <w:sz w:val="24"/>
          <w:szCs w:val="24"/>
        </w:rPr>
        <w:t>los</w:t>
      </w:r>
      <w:r w:rsidRPr="00B52F84">
        <w:rPr>
          <w:rFonts w:ascii="Century Gothic" w:hAnsi="Century Gothic"/>
          <w:sz w:val="24"/>
          <w:szCs w:val="24"/>
        </w:rPr>
        <w:t xml:space="preserve"> re</w:t>
      </w:r>
      <w:r w:rsidR="00C51361">
        <w:rPr>
          <w:rFonts w:ascii="Century Gothic" w:hAnsi="Century Gothic"/>
          <w:sz w:val="24"/>
          <w:szCs w:val="24"/>
        </w:rPr>
        <w:t>cientes cambios producidos,</w:t>
      </w:r>
      <w:r w:rsidR="00074C16" w:rsidRPr="00B52F84">
        <w:rPr>
          <w:rFonts w:ascii="Century Gothic" w:hAnsi="Century Gothic"/>
          <w:sz w:val="24"/>
          <w:szCs w:val="24"/>
        </w:rPr>
        <w:t xml:space="preserve"> </w:t>
      </w:r>
      <w:r w:rsidR="00615E29">
        <w:rPr>
          <w:rFonts w:ascii="Century Gothic" w:hAnsi="Century Gothic"/>
          <w:sz w:val="24"/>
          <w:szCs w:val="24"/>
        </w:rPr>
        <w:t xml:space="preserve">con el </w:t>
      </w:r>
      <w:r w:rsidR="00C51361">
        <w:rPr>
          <w:rFonts w:ascii="Century Gothic" w:hAnsi="Century Gothic"/>
          <w:sz w:val="24"/>
          <w:szCs w:val="24"/>
        </w:rPr>
        <w:t>propósito</w:t>
      </w:r>
      <w:r w:rsidR="00622ED6">
        <w:rPr>
          <w:rFonts w:ascii="Century Gothic" w:hAnsi="Century Gothic"/>
          <w:sz w:val="24"/>
          <w:szCs w:val="24"/>
        </w:rPr>
        <w:t xml:space="preserve"> </w:t>
      </w:r>
      <w:r w:rsidR="00615E29">
        <w:rPr>
          <w:rFonts w:ascii="Century Gothic" w:hAnsi="Century Gothic"/>
          <w:sz w:val="24"/>
          <w:szCs w:val="24"/>
        </w:rPr>
        <w:t xml:space="preserve">de </w:t>
      </w:r>
      <w:r w:rsidR="00C51361">
        <w:rPr>
          <w:rFonts w:ascii="Century Gothic" w:hAnsi="Century Gothic"/>
          <w:sz w:val="24"/>
          <w:szCs w:val="24"/>
        </w:rPr>
        <w:t xml:space="preserve">aprovechar </w:t>
      </w:r>
      <w:r w:rsidR="00074C16" w:rsidRPr="00B52F84">
        <w:rPr>
          <w:rFonts w:ascii="Century Gothic" w:hAnsi="Century Gothic"/>
          <w:sz w:val="24"/>
          <w:szCs w:val="24"/>
        </w:rPr>
        <w:t>las oportunidades que se gener</w:t>
      </w:r>
      <w:r w:rsidR="00C51361">
        <w:rPr>
          <w:rFonts w:ascii="Century Gothic" w:hAnsi="Century Gothic"/>
          <w:sz w:val="24"/>
          <w:szCs w:val="24"/>
        </w:rPr>
        <w:t>en para el crecimiento de los sectores vulnerables, adaptándonos a</w:t>
      </w:r>
      <w:r w:rsidR="00622ED6">
        <w:rPr>
          <w:rFonts w:ascii="Century Gothic" w:hAnsi="Century Gothic"/>
          <w:sz w:val="24"/>
          <w:szCs w:val="24"/>
        </w:rPr>
        <w:t xml:space="preserve"> las nuevas formas de consumo </w:t>
      </w:r>
      <w:r w:rsidR="00615E29">
        <w:rPr>
          <w:rFonts w:ascii="Century Gothic" w:hAnsi="Century Gothic"/>
          <w:sz w:val="24"/>
          <w:szCs w:val="24"/>
        </w:rPr>
        <w:t>para el cuidado de la sociedad y re</w:t>
      </w:r>
      <w:r w:rsidR="00C51361">
        <w:rPr>
          <w:rFonts w:ascii="Century Gothic" w:hAnsi="Century Gothic"/>
          <w:sz w:val="24"/>
          <w:szCs w:val="24"/>
        </w:rPr>
        <w:t>spetando las medidas de higiene correspondientes.</w:t>
      </w:r>
    </w:p>
    <w:p w:rsidR="002617B5" w:rsidRPr="00B52F84" w:rsidRDefault="002617B5" w:rsidP="00622ED6">
      <w:pPr>
        <w:jc w:val="both"/>
        <w:rPr>
          <w:rFonts w:ascii="Century Gothic" w:hAnsi="Century Gothic"/>
          <w:sz w:val="24"/>
          <w:szCs w:val="24"/>
        </w:rPr>
      </w:pPr>
      <w:r w:rsidRPr="00B52F84">
        <w:rPr>
          <w:rFonts w:ascii="Century Gothic" w:hAnsi="Century Gothic"/>
          <w:sz w:val="24"/>
          <w:szCs w:val="24"/>
        </w:rPr>
        <w:t xml:space="preserve">La comisión </w:t>
      </w:r>
      <w:r w:rsidR="006532D3" w:rsidRPr="00B52F84">
        <w:rPr>
          <w:rFonts w:ascii="Century Gothic" w:hAnsi="Century Gothic"/>
          <w:sz w:val="24"/>
          <w:szCs w:val="24"/>
        </w:rPr>
        <w:t>se</w:t>
      </w:r>
      <w:r w:rsidR="00581A47">
        <w:rPr>
          <w:rFonts w:ascii="Century Gothic" w:hAnsi="Century Gothic"/>
          <w:sz w:val="24"/>
          <w:szCs w:val="24"/>
        </w:rPr>
        <w:t>guirá trabajando para la solidez</w:t>
      </w:r>
      <w:r w:rsidR="006532D3" w:rsidRPr="00B52F84">
        <w:rPr>
          <w:rFonts w:ascii="Century Gothic" w:hAnsi="Century Gothic"/>
          <w:sz w:val="24"/>
          <w:szCs w:val="24"/>
        </w:rPr>
        <w:t xml:space="preserve"> </w:t>
      </w:r>
      <w:r w:rsidR="00C51361">
        <w:rPr>
          <w:rFonts w:ascii="Century Gothic" w:hAnsi="Century Gothic"/>
          <w:sz w:val="24"/>
          <w:szCs w:val="24"/>
        </w:rPr>
        <w:t>del M</w:t>
      </w:r>
      <w:r w:rsidRPr="00B52F84">
        <w:rPr>
          <w:rFonts w:ascii="Century Gothic" w:hAnsi="Century Gothic"/>
          <w:sz w:val="24"/>
          <w:szCs w:val="24"/>
        </w:rPr>
        <w:t xml:space="preserve">unicipio mediante la Promoción </w:t>
      </w:r>
      <w:r w:rsidR="00615E29">
        <w:rPr>
          <w:rFonts w:ascii="Century Gothic" w:hAnsi="Century Gothic"/>
          <w:sz w:val="24"/>
          <w:szCs w:val="24"/>
        </w:rPr>
        <w:t>Económica y brindando atención a la ciudadanía, así como en la difusión de los apoyos sociales municipales.</w:t>
      </w:r>
    </w:p>
    <w:p w:rsidR="002617B5" w:rsidRPr="00B52F84" w:rsidRDefault="002617B5" w:rsidP="002617B5">
      <w:pPr>
        <w:spacing w:line="259" w:lineRule="auto"/>
        <w:jc w:val="both"/>
        <w:rPr>
          <w:rFonts w:ascii="Century Gothic" w:hAnsi="Century Gothic"/>
          <w:sz w:val="24"/>
          <w:szCs w:val="24"/>
        </w:rPr>
      </w:pPr>
    </w:p>
    <w:p w:rsidR="00745623" w:rsidRPr="00745623" w:rsidRDefault="00745623" w:rsidP="00745623">
      <w:pPr>
        <w:spacing w:after="0" w:line="276" w:lineRule="auto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</w:p>
    <w:p w:rsidR="006532D3" w:rsidRDefault="006532D3">
      <w:pPr>
        <w:rPr>
          <w:sz w:val="24"/>
          <w:szCs w:val="24"/>
        </w:rPr>
      </w:pPr>
    </w:p>
    <w:p w:rsidR="00453418" w:rsidRDefault="00453418"/>
    <w:p w:rsidR="00453418" w:rsidRDefault="00453418"/>
    <w:p w:rsidR="00453418" w:rsidRDefault="00453418"/>
    <w:p w:rsidR="00453418" w:rsidRPr="003568E9" w:rsidRDefault="00453418" w:rsidP="00453418">
      <w:pPr>
        <w:spacing w:after="200" w:line="276" w:lineRule="auto"/>
        <w:jc w:val="center"/>
        <w:rPr>
          <w:rFonts w:ascii="Century Gothic" w:hAnsi="Century Gothic"/>
          <w:sz w:val="24"/>
          <w:szCs w:val="24"/>
        </w:rPr>
      </w:pPr>
      <w:r w:rsidRPr="003568E9">
        <w:rPr>
          <w:rFonts w:ascii="Century Gothic" w:hAnsi="Century Gothic"/>
          <w:sz w:val="24"/>
          <w:szCs w:val="24"/>
        </w:rPr>
        <w:t>________________________________________________</w:t>
      </w:r>
    </w:p>
    <w:p w:rsidR="00453418" w:rsidRPr="003568E9" w:rsidRDefault="00453418" w:rsidP="00453418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3568E9">
        <w:rPr>
          <w:rFonts w:ascii="Century Gothic" w:hAnsi="Century Gothic" w:cs="Arial"/>
          <w:b/>
          <w:sz w:val="24"/>
          <w:szCs w:val="24"/>
        </w:rPr>
        <w:t>REGIDOR JORGE ANTONIO CHÁVEZ AMBRIZ.</w:t>
      </w:r>
    </w:p>
    <w:p w:rsidR="00453418" w:rsidRPr="003568E9" w:rsidRDefault="00453418" w:rsidP="00453418">
      <w:pPr>
        <w:spacing w:after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3568E9">
        <w:rPr>
          <w:rFonts w:ascii="Century Gothic" w:hAnsi="Century Gothic" w:cs="Arial"/>
          <w:b/>
          <w:sz w:val="24"/>
          <w:szCs w:val="24"/>
        </w:rPr>
        <w:t>Presidente de la Comisión Edilicia de Promoción Económica.</w:t>
      </w:r>
    </w:p>
    <w:p w:rsidR="00453418" w:rsidRDefault="00453418" w:rsidP="00453418"/>
    <w:p w:rsidR="006532D3" w:rsidRDefault="006532D3"/>
    <w:p w:rsidR="006532D3" w:rsidRDefault="006532D3"/>
    <w:p w:rsidR="00745623" w:rsidRDefault="00745623"/>
    <w:sectPr w:rsidR="0074562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09" w:rsidRDefault="00491B09" w:rsidP="00745623">
      <w:pPr>
        <w:spacing w:after="0" w:line="240" w:lineRule="auto"/>
      </w:pPr>
      <w:r>
        <w:separator/>
      </w:r>
    </w:p>
  </w:endnote>
  <w:endnote w:type="continuationSeparator" w:id="0">
    <w:p w:rsidR="00491B09" w:rsidRDefault="00491B09" w:rsidP="0074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84" w:rsidRPr="00B52F84" w:rsidRDefault="00B52F84">
    <w:pPr>
      <w:pStyle w:val="Piedepgina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8"/>
        <w:szCs w:val="18"/>
      </w:rPr>
    </w:pPr>
    <w:r w:rsidRPr="00B52F84">
      <w:rPr>
        <w:rFonts w:ascii="Century Gothic" w:eastAsiaTheme="majorEastAsia" w:hAnsi="Century Gothic" w:cstheme="majorBidi"/>
        <w:sz w:val="18"/>
        <w:szCs w:val="18"/>
      </w:rPr>
      <w:t>Comisión Edilicia de Promoción Económica.</w:t>
    </w:r>
    <w:r w:rsidRPr="00B52F84">
      <w:rPr>
        <w:rFonts w:ascii="Century Gothic" w:eastAsiaTheme="majorEastAsia" w:hAnsi="Century Gothic" w:cstheme="majorBidi"/>
        <w:sz w:val="18"/>
        <w:szCs w:val="18"/>
      </w:rPr>
      <w:ptab w:relativeTo="margin" w:alignment="right" w:leader="none"/>
    </w:r>
    <w:r w:rsidRPr="00B52F84">
      <w:rPr>
        <w:rFonts w:ascii="Century Gothic" w:eastAsiaTheme="majorEastAsia" w:hAnsi="Century Gothic" w:cstheme="majorBidi"/>
        <w:sz w:val="18"/>
        <w:szCs w:val="18"/>
        <w:lang w:val="es-ES"/>
      </w:rPr>
      <w:t xml:space="preserve">Página </w:t>
    </w:r>
    <w:r w:rsidRPr="00B52F84">
      <w:rPr>
        <w:rFonts w:ascii="Century Gothic" w:eastAsiaTheme="minorEastAsia" w:hAnsi="Century Gothic"/>
        <w:sz w:val="18"/>
        <w:szCs w:val="18"/>
      </w:rPr>
      <w:fldChar w:fldCharType="begin"/>
    </w:r>
    <w:r w:rsidRPr="00B52F84">
      <w:rPr>
        <w:rFonts w:ascii="Century Gothic" w:hAnsi="Century Gothic"/>
        <w:sz w:val="18"/>
        <w:szCs w:val="18"/>
      </w:rPr>
      <w:instrText>PAGE   \* MERGEFORMAT</w:instrText>
    </w:r>
    <w:r w:rsidRPr="00B52F84">
      <w:rPr>
        <w:rFonts w:ascii="Century Gothic" w:eastAsiaTheme="minorEastAsia" w:hAnsi="Century Gothic"/>
        <w:sz w:val="18"/>
        <w:szCs w:val="18"/>
      </w:rPr>
      <w:fldChar w:fldCharType="separate"/>
    </w:r>
    <w:r w:rsidR="00CE3612" w:rsidRPr="00CE3612">
      <w:rPr>
        <w:rFonts w:ascii="Century Gothic" w:eastAsiaTheme="majorEastAsia" w:hAnsi="Century Gothic" w:cstheme="majorBidi"/>
        <w:noProof/>
        <w:sz w:val="18"/>
        <w:szCs w:val="18"/>
        <w:lang w:val="es-ES"/>
      </w:rPr>
      <w:t>1</w:t>
    </w:r>
    <w:r w:rsidRPr="00B52F84">
      <w:rPr>
        <w:rFonts w:ascii="Century Gothic" w:eastAsiaTheme="majorEastAsia" w:hAnsi="Century Gothic" w:cstheme="majorBidi"/>
        <w:sz w:val="18"/>
        <w:szCs w:val="18"/>
      </w:rPr>
      <w:fldChar w:fldCharType="end"/>
    </w:r>
  </w:p>
  <w:p w:rsidR="00B52F84" w:rsidRPr="00B52F84" w:rsidRDefault="00B52F84">
    <w:pPr>
      <w:pStyle w:val="Piedepgina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09" w:rsidRDefault="00491B09" w:rsidP="00745623">
      <w:pPr>
        <w:spacing w:after="0" w:line="240" w:lineRule="auto"/>
      </w:pPr>
      <w:r>
        <w:separator/>
      </w:r>
    </w:p>
  </w:footnote>
  <w:footnote w:type="continuationSeparator" w:id="0">
    <w:p w:rsidR="00491B09" w:rsidRDefault="00491B09" w:rsidP="0074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623" w:rsidRDefault="007456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6C87C17" wp14:editId="544D3F05">
          <wp:simplePos x="0" y="0"/>
          <wp:positionH relativeFrom="column">
            <wp:posOffset>-874395</wp:posOffset>
          </wp:positionH>
          <wp:positionV relativeFrom="paragraph">
            <wp:posOffset>-289560</wp:posOffset>
          </wp:positionV>
          <wp:extent cx="1318260" cy="1064748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0647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23"/>
    <w:rsid w:val="00074C16"/>
    <w:rsid w:val="002617B5"/>
    <w:rsid w:val="00282F01"/>
    <w:rsid w:val="002A4359"/>
    <w:rsid w:val="00453418"/>
    <w:rsid w:val="00491B09"/>
    <w:rsid w:val="004D639C"/>
    <w:rsid w:val="0056618D"/>
    <w:rsid w:val="00581A47"/>
    <w:rsid w:val="00615E29"/>
    <w:rsid w:val="00622ED6"/>
    <w:rsid w:val="006532D3"/>
    <w:rsid w:val="0065400A"/>
    <w:rsid w:val="00745623"/>
    <w:rsid w:val="00775A5A"/>
    <w:rsid w:val="007C5953"/>
    <w:rsid w:val="00842CAA"/>
    <w:rsid w:val="008C0D99"/>
    <w:rsid w:val="009B2B61"/>
    <w:rsid w:val="009F32CB"/>
    <w:rsid w:val="00AE226E"/>
    <w:rsid w:val="00B52F84"/>
    <w:rsid w:val="00C51361"/>
    <w:rsid w:val="00CE3612"/>
    <w:rsid w:val="00DC4B2C"/>
    <w:rsid w:val="00ED18C8"/>
    <w:rsid w:val="00E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CC044-39EC-4D20-B05E-39AD7742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623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623"/>
  </w:style>
  <w:style w:type="paragraph" w:styleId="Piedepgina">
    <w:name w:val="footer"/>
    <w:basedOn w:val="Normal"/>
    <w:link w:val="PiedepginaCar"/>
    <w:uiPriority w:val="99"/>
    <w:unhideWhenUsed/>
    <w:rsid w:val="0074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23"/>
  </w:style>
  <w:style w:type="table" w:styleId="Tablaconcuadrcula">
    <w:name w:val="Table Grid"/>
    <w:basedOn w:val="Tablanormal"/>
    <w:uiPriority w:val="59"/>
    <w:rsid w:val="00745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Isela Rios Orozco</dc:creator>
  <cp:lastModifiedBy>Cesar Ignacio Bocanegra Alvarado</cp:lastModifiedBy>
  <cp:revision>2</cp:revision>
  <dcterms:created xsi:type="dcterms:W3CDTF">2020-07-31T18:18:00Z</dcterms:created>
  <dcterms:modified xsi:type="dcterms:W3CDTF">2020-07-31T18:18:00Z</dcterms:modified>
</cp:coreProperties>
</file>