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D1E31" w14:textId="77777777" w:rsidR="00EF3180" w:rsidRDefault="00EF3180" w:rsidP="00EF3180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14:paraId="622C2F2B" w14:textId="77777777" w:rsidR="00AD41CA" w:rsidRDefault="00AD41CA" w:rsidP="00EF3180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INFORME DE ACTIVIDADES DE LA </w:t>
      </w:r>
      <w:bookmarkStart w:id="0" w:name="_GoBack"/>
      <w:r>
        <w:rPr>
          <w:rFonts w:ascii="Arial Black" w:hAnsi="Arial Black"/>
          <w:b/>
          <w:sz w:val="20"/>
          <w:szCs w:val="20"/>
        </w:rPr>
        <w:t>COMISIÓN</w:t>
      </w:r>
      <w:r w:rsidRPr="004E6FDF">
        <w:rPr>
          <w:rFonts w:ascii="Arial Black" w:hAnsi="Arial Black"/>
          <w:b/>
          <w:sz w:val="20"/>
          <w:szCs w:val="20"/>
        </w:rPr>
        <w:t xml:space="preserve"> DE PLA</w:t>
      </w:r>
      <w:r>
        <w:rPr>
          <w:rFonts w:ascii="Arial Black" w:hAnsi="Arial Black"/>
          <w:b/>
          <w:sz w:val="20"/>
          <w:szCs w:val="20"/>
        </w:rPr>
        <w:t>NEACIÓN SOCIOECONÓMICA Y URBANA</w:t>
      </w:r>
      <w:bookmarkEnd w:id="0"/>
      <w:r>
        <w:rPr>
          <w:rFonts w:ascii="Arial Black" w:hAnsi="Arial Black"/>
          <w:b/>
          <w:sz w:val="20"/>
          <w:szCs w:val="20"/>
        </w:rPr>
        <w:t xml:space="preserve"> </w:t>
      </w:r>
      <w:r w:rsidRPr="004E6FDF">
        <w:rPr>
          <w:rFonts w:ascii="Arial Black" w:hAnsi="Arial Black"/>
          <w:b/>
          <w:sz w:val="20"/>
          <w:szCs w:val="20"/>
        </w:rPr>
        <w:t>CORRE</w:t>
      </w:r>
      <w:r w:rsidR="003D5541">
        <w:rPr>
          <w:rFonts w:ascii="Arial Black" w:hAnsi="Arial Black"/>
          <w:b/>
          <w:sz w:val="20"/>
          <w:szCs w:val="20"/>
        </w:rPr>
        <w:t>SPONDIENTE AL PERIODO DE ABRIL – JUNIO</w:t>
      </w:r>
      <w:r>
        <w:rPr>
          <w:rFonts w:ascii="Arial Black" w:hAnsi="Arial Black"/>
          <w:b/>
          <w:sz w:val="20"/>
          <w:szCs w:val="20"/>
        </w:rPr>
        <w:t xml:space="preserve"> 2021</w:t>
      </w:r>
    </w:p>
    <w:p w14:paraId="541A631B" w14:textId="77777777" w:rsidR="00EF3180" w:rsidRDefault="00EF3180" w:rsidP="00EF3180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14:paraId="1358DE86" w14:textId="77777777" w:rsidR="00AD41CA" w:rsidRDefault="00EF3180" w:rsidP="00EF3180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PRESIDENTA INTERINA</w:t>
      </w:r>
      <w:r w:rsidR="00AD41CA" w:rsidRPr="001953C4">
        <w:rPr>
          <w:rFonts w:ascii="Arial Black" w:hAnsi="Arial Black"/>
          <w:b/>
          <w:sz w:val="20"/>
          <w:szCs w:val="20"/>
          <w:u w:val="single"/>
        </w:rPr>
        <w:t xml:space="preserve"> BETSABÉ ALMAGUER ESPARZA</w:t>
      </w:r>
    </w:p>
    <w:p w14:paraId="535D7ABE" w14:textId="77777777" w:rsidR="00EF3180" w:rsidRPr="00EF3180" w:rsidRDefault="00EF3180" w:rsidP="00EF3180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14:paraId="443AB07A" w14:textId="77777777" w:rsidR="00AD41CA" w:rsidRDefault="00AD41CA" w:rsidP="00AD41CA">
      <w:pPr>
        <w:tabs>
          <w:tab w:val="left" w:pos="1410"/>
        </w:tabs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Iniciativa presentada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7936"/>
        <w:gridCol w:w="1519"/>
      </w:tblGrid>
      <w:tr w:rsidR="00AD41CA" w14:paraId="19D9641A" w14:textId="77777777" w:rsidTr="00EF3180">
        <w:tc>
          <w:tcPr>
            <w:tcW w:w="1980" w:type="dxa"/>
          </w:tcPr>
          <w:p w14:paraId="1A910FEA" w14:textId="77777777" w:rsidR="00AD41CA" w:rsidRDefault="00AD41CA" w:rsidP="00236A1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EXPEDIENTE</w:t>
            </w:r>
          </w:p>
        </w:tc>
        <w:tc>
          <w:tcPr>
            <w:tcW w:w="1559" w:type="dxa"/>
          </w:tcPr>
          <w:p w14:paraId="4A1C4472" w14:textId="77777777" w:rsidR="00AD41CA" w:rsidRDefault="00AD41CA" w:rsidP="00236A1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938" w:type="dxa"/>
          </w:tcPr>
          <w:p w14:paraId="397AAB59" w14:textId="77777777" w:rsidR="00AD41CA" w:rsidRDefault="00AD41CA" w:rsidP="00236A1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ASUNTO</w:t>
            </w:r>
          </w:p>
        </w:tc>
        <w:tc>
          <w:tcPr>
            <w:tcW w:w="1519" w:type="dxa"/>
          </w:tcPr>
          <w:p w14:paraId="320C3852" w14:textId="77777777" w:rsidR="00AD41CA" w:rsidRDefault="00AD41CA" w:rsidP="00236A1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ESTATUS</w:t>
            </w:r>
          </w:p>
        </w:tc>
      </w:tr>
      <w:tr w:rsidR="00AD41CA" w14:paraId="0322F768" w14:textId="77777777" w:rsidTr="00EF3180">
        <w:tc>
          <w:tcPr>
            <w:tcW w:w="1980" w:type="dxa"/>
          </w:tcPr>
          <w:p w14:paraId="43E209C5" w14:textId="77777777" w:rsidR="00AD41CA" w:rsidRPr="00B272F8" w:rsidRDefault="00AD41CA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9D999D" w14:textId="77777777" w:rsidR="00AD41CA" w:rsidRPr="00B272F8" w:rsidRDefault="00AD41CA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1B0E14" w14:textId="77777777" w:rsidR="00AD41CA" w:rsidRPr="00B272F8" w:rsidRDefault="00AD41CA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Iniciativa</w:t>
            </w:r>
            <w:r w:rsidRPr="00B272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6F7DA46" w14:textId="77777777" w:rsidR="00AD41CA" w:rsidRDefault="00AD41CA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7D946F" w14:textId="77777777" w:rsidR="00AD41CA" w:rsidRDefault="00AD41CA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B43A77" w14:textId="77777777" w:rsidR="00AD41CA" w:rsidRPr="00B272F8" w:rsidRDefault="00EF3180" w:rsidP="00EF3180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1CA">
              <w:rPr>
                <w:rFonts w:ascii="Arial" w:hAnsi="Arial" w:cs="Arial"/>
                <w:sz w:val="24"/>
                <w:szCs w:val="24"/>
              </w:rPr>
              <w:t xml:space="preserve">22 de Abril </w:t>
            </w:r>
          </w:p>
        </w:tc>
        <w:tc>
          <w:tcPr>
            <w:tcW w:w="7938" w:type="dxa"/>
          </w:tcPr>
          <w:p w14:paraId="1E33E6C3" w14:textId="77777777" w:rsidR="00AD41CA" w:rsidRPr="00B272F8" w:rsidRDefault="00AD41CA" w:rsidP="00EF3180">
            <w:pPr>
              <w:tabs>
                <w:tab w:val="left" w:pos="141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 el turno a la Comisión Edilicia de Planeación Socioeconómica y Urbana como convocante y a las Comisiones Edilicias de Reglamentos Municipales y Puntos Legislativos</w:t>
            </w:r>
            <w:r w:rsidR="004A7FAC">
              <w:rPr>
                <w:rFonts w:ascii="Arial" w:hAnsi="Arial" w:cs="Arial"/>
                <w:sz w:val="24"/>
                <w:szCs w:val="24"/>
              </w:rPr>
              <w:t xml:space="preserve">, Medio Ambiente y Servicios Públicos como coadyuvantes para el estudio, análisis y dictaminación del proyecto que tiene por objeto el “Plan de Desarrollo Urbano de Centro de Población y Planes Parciales de Desarrollo Urbano” para su posterior aprobación, publicación y registro a fin de cumplir con los procedimientos señalados por el Código Urbano para el Estado de Jalisco y La Ley Estatal del Equilibrio Ecológico y la Protección al Ambiente. </w:t>
            </w:r>
          </w:p>
        </w:tc>
        <w:tc>
          <w:tcPr>
            <w:tcW w:w="1519" w:type="dxa"/>
          </w:tcPr>
          <w:p w14:paraId="4828804F" w14:textId="77777777" w:rsidR="00AD41CA" w:rsidRDefault="00AD41CA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CF3CC0" w14:textId="77777777" w:rsidR="00AD41CA" w:rsidRDefault="00AD41CA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5A7ABA" w14:textId="77777777" w:rsidR="00AD41CA" w:rsidRPr="00B272F8" w:rsidRDefault="00AD41CA" w:rsidP="00236A10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  <w:tr w:rsidR="004A7FAC" w14:paraId="20FD2B96" w14:textId="77777777" w:rsidTr="00EF3180">
        <w:tc>
          <w:tcPr>
            <w:tcW w:w="1980" w:type="dxa"/>
          </w:tcPr>
          <w:p w14:paraId="6F7A0F58" w14:textId="77777777" w:rsidR="004A7FAC" w:rsidRDefault="004A7FAC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AB9683" w14:textId="77777777" w:rsidR="004A7FAC" w:rsidRDefault="004A7FAC" w:rsidP="004A7FAC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Iniciativa</w:t>
            </w:r>
          </w:p>
          <w:p w14:paraId="29B9ED98" w14:textId="77777777" w:rsidR="004A7FAC" w:rsidRPr="00B272F8" w:rsidRDefault="004A7FAC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DC9711" w14:textId="77777777" w:rsidR="004A7FAC" w:rsidRDefault="004A7FAC" w:rsidP="004A7FAC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9C3F85" w14:textId="77777777" w:rsidR="004A7FAC" w:rsidRDefault="004A7FAC" w:rsidP="004A7FAC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Mayo</w:t>
            </w:r>
          </w:p>
        </w:tc>
        <w:tc>
          <w:tcPr>
            <w:tcW w:w="7938" w:type="dxa"/>
          </w:tcPr>
          <w:p w14:paraId="263D8AB7" w14:textId="77777777" w:rsidR="004A7FAC" w:rsidRDefault="004A7FAC" w:rsidP="00EF3180">
            <w:pPr>
              <w:tabs>
                <w:tab w:val="left" w:pos="141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propone el turno a la Comisión Edilicia de Planeación Socioeconómica y Urbana como coadyuvante y la Comisión Edilicia de Reglamentos Municipales y Puntos Legislativos como convocante para el estudio, análisis y dictaminación del proyecto que tiene por objeto la abrogación del Reglamento de Planeación para el Desarrollo Municipal Vigen</w:t>
            </w:r>
            <w:r w:rsidR="00EF3180">
              <w:rPr>
                <w:rFonts w:ascii="Arial" w:hAnsi="Arial" w:cs="Arial"/>
                <w:sz w:val="24"/>
                <w:szCs w:val="24"/>
              </w:rPr>
              <w:t>te, así como la aprobación del n</w:t>
            </w:r>
            <w:r>
              <w:rPr>
                <w:rFonts w:ascii="Arial" w:hAnsi="Arial" w:cs="Arial"/>
                <w:sz w:val="24"/>
                <w:szCs w:val="24"/>
              </w:rPr>
              <w:t xml:space="preserve">uevo </w:t>
            </w:r>
            <w:r w:rsidR="00EF3180">
              <w:rPr>
                <w:rFonts w:ascii="Arial" w:hAnsi="Arial" w:cs="Arial"/>
                <w:sz w:val="24"/>
                <w:szCs w:val="24"/>
              </w:rPr>
              <w:t>Reglamento de Planeación Participativa para el Municipio de San Pedro Tlaquepaque, Jalisco</w:t>
            </w:r>
          </w:p>
        </w:tc>
        <w:tc>
          <w:tcPr>
            <w:tcW w:w="1519" w:type="dxa"/>
          </w:tcPr>
          <w:p w14:paraId="21FF4734" w14:textId="77777777" w:rsidR="004A7FAC" w:rsidRDefault="004A7FAC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5B5C9F" w14:textId="77777777" w:rsidR="004A7FAC" w:rsidRDefault="004A7FAC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Aprobado </w:t>
            </w:r>
          </w:p>
        </w:tc>
      </w:tr>
    </w:tbl>
    <w:p w14:paraId="2B7DDB95" w14:textId="77777777" w:rsidR="00AD41CA" w:rsidRDefault="00AD41CA" w:rsidP="00AD41CA">
      <w:pPr>
        <w:tabs>
          <w:tab w:val="left" w:pos="1410"/>
        </w:tabs>
        <w:rPr>
          <w:noProof/>
          <w:lang w:eastAsia="es-MX"/>
        </w:rPr>
      </w:pPr>
    </w:p>
    <w:p w14:paraId="165D9E8D" w14:textId="77777777" w:rsidR="00EF3180" w:rsidRDefault="00EF3180" w:rsidP="00AD41CA">
      <w:pPr>
        <w:tabs>
          <w:tab w:val="left" w:pos="1410"/>
        </w:tabs>
        <w:rPr>
          <w:noProof/>
          <w:lang w:eastAsia="es-MX"/>
        </w:rPr>
      </w:pPr>
    </w:p>
    <w:p w14:paraId="20983C46" w14:textId="77777777" w:rsidR="003D5541" w:rsidRDefault="003D5541" w:rsidP="00AD41CA">
      <w:pPr>
        <w:tabs>
          <w:tab w:val="left" w:pos="1410"/>
        </w:tabs>
        <w:rPr>
          <w:noProof/>
          <w:lang w:eastAsia="es-MX"/>
        </w:rPr>
      </w:pPr>
    </w:p>
    <w:p w14:paraId="0B4D13FD" w14:textId="77777777" w:rsidR="00AD41CA" w:rsidRDefault="00AD41CA" w:rsidP="00AD41CA">
      <w:pPr>
        <w:tabs>
          <w:tab w:val="left" w:pos="1410"/>
        </w:tabs>
        <w:rPr>
          <w:rFonts w:ascii="Arial Black" w:hAnsi="Arial Black"/>
          <w:u w:val="single"/>
        </w:rPr>
      </w:pPr>
      <w:r w:rsidRPr="00F56805">
        <w:rPr>
          <w:rFonts w:ascii="Arial Black" w:hAnsi="Arial Black"/>
          <w:u w:val="single"/>
        </w:rPr>
        <w:lastRenderedPageBreak/>
        <w:t xml:space="preserve">Sesiones Celebradas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0"/>
        <w:gridCol w:w="1687"/>
        <w:gridCol w:w="7407"/>
      </w:tblGrid>
      <w:tr w:rsidR="00AD41CA" w14:paraId="1E733DC2" w14:textId="77777777" w:rsidTr="00236A10">
        <w:tc>
          <w:tcPr>
            <w:tcW w:w="3936" w:type="dxa"/>
          </w:tcPr>
          <w:p w14:paraId="27047A1F" w14:textId="77777777" w:rsidR="00AD41CA" w:rsidRDefault="00AD41CA" w:rsidP="00236A1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Convocante</w:t>
            </w:r>
          </w:p>
        </w:tc>
        <w:tc>
          <w:tcPr>
            <w:tcW w:w="1701" w:type="dxa"/>
          </w:tcPr>
          <w:p w14:paraId="71CDCD5A" w14:textId="77777777" w:rsidR="00AD41CA" w:rsidRDefault="00AD41CA" w:rsidP="00236A1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509" w:type="dxa"/>
          </w:tcPr>
          <w:p w14:paraId="7F4BEA94" w14:textId="77777777" w:rsidR="00AD41CA" w:rsidRDefault="00AD41CA" w:rsidP="00236A10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Temática</w:t>
            </w:r>
          </w:p>
        </w:tc>
      </w:tr>
      <w:tr w:rsidR="00AD41CA" w14:paraId="56925C43" w14:textId="77777777" w:rsidTr="00236A10">
        <w:tc>
          <w:tcPr>
            <w:tcW w:w="3936" w:type="dxa"/>
          </w:tcPr>
          <w:p w14:paraId="4614F70B" w14:textId="77777777" w:rsidR="00AD41CA" w:rsidRPr="00A75C13" w:rsidRDefault="00AD41CA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A75C13">
              <w:rPr>
                <w:rFonts w:ascii="Arial" w:hAnsi="Arial" w:cs="Arial"/>
                <w:sz w:val="24"/>
                <w:szCs w:val="24"/>
              </w:rPr>
              <w:t>Planeación Socioeconómica y Urb</w:t>
            </w: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</w:p>
        </w:tc>
        <w:tc>
          <w:tcPr>
            <w:tcW w:w="1701" w:type="dxa"/>
          </w:tcPr>
          <w:p w14:paraId="2D564A59" w14:textId="77777777" w:rsidR="00AD41CA" w:rsidRPr="00A75C13" w:rsidRDefault="00EF3180" w:rsidP="00EF3180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 Abril</w:t>
            </w:r>
          </w:p>
        </w:tc>
        <w:tc>
          <w:tcPr>
            <w:tcW w:w="7509" w:type="dxa"/>
          </w:tcPr>
          <w:p w14:paraId="626EFAA4" w14:textId="77777777" w:rsidR="00AD41CA" w:rsidRPr="00EF3180" w:rsidRDefault="00EF3180" w:rsidP="00EF318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 acerca de la presentación de la propuesta que quedó asignada como turno 1691/2021/TC que tiene por objeto la aprobación del Plan de Desarrollo Urbano del Centro de Población y Planes Parciales de Desarrollo Urbano para su posterior aprobación, publicación y registro a fin de cumplir con los procedimientos señalados por el código urbano para el Estado de Jalisco y la Ley Estatal del Equilibrio Ecológico y la Protección del Ambiente.</w:t>
            </w:r>
          </w:p>
        </w:tc>
      </w:tr>
      <w:tr w:rsidR="00AD41CA" w14:paraId="4802071E" w14:textId="77777777" w:rsidTr="00236A10">
        <w:tc>
          <w:tcPr>
            <w:tcW w:w="3936" w:type="dxa"/>
          </w:tcPr>
          <w:p w14:paraId="47EA6BC1" w14:textId="77777777" w:rsidR="00AD41CA" w:rsidRDefault="00AD41CA" w:rsidP="00236A10">
            <w:pPr>
              <w:tabs>
                <w:tab w:val="left" w:pos="1410"/>
              </w:tabs>
              <w:rPr>
                <w:rFonts w:ascii="Arial Black" w:hAnsi="Arial Black"/>
              </w:rPr>
            </w:pPr>
            <w:r w:rsidRPr="00A75C13">
              <w:rPr>
                <w:rFonts w:ascii="Arial" w:hAnsi="Arial" w:cs="Arial"/>
                <w:sz w:val="24"/>
                <w:szCs w:val="24"/>
              </w:rPr>
              <w:t>Planeación Socioeconómica y Urbana</w:t>
            </w:r>
            <w:r w:rsidR="00EF3180">
              <w:rPr>
                <w:rFonts w:ascii="Arial" w:hAnsi="Arial" w:cs="Arial"/>
                <w:sz w:val="24"/>
                <w:szCs w:val="24"/>
              </w:rPr>
              <w:t xml:space="preserve"> en conjunto con Reglamentos Municipales y Puntos Legislativos, Servicios Públicos y Medio Ambiente</w:t>
            </w:r>
            <w:r w:rsidRPr="00A75C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73496CB" w14:textId="77777777" w:rsidR="00AD41CA" w:rsidRPr="00A75C13" w:rsidRDefault="00EF3180" w:rsidP="00236A10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May</w:t>
            </w:r>
            <w:r w:rsidR="00AD41CA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7509" w:type="dxa"/>
          </w:tcPr>
          <w:p w14:paraId="0789AEC2" w14:textId="77777777" w:rsidR="00AD41CA" w:rsidRPr="006C008F" w:rsidRDefault="00EF3180" w:rsidP="00EF3180">
            <w:pPr>
              <w:spacing w:line="240" w:lineRule="auto"/>
              <w:ind w:right="8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 y análisis del turno 1691/2021/TC que versa sobre el “Plan de Desarrollo Urbano del Centro de Población y Planes Parciales de Desarrollo Urbano” para su posterior aprobación, publicación y registro a fin de cumplir con los procedimientos señalados por el Código Urbano para el Estado de Jalisco y la Ley Estatal del Equilibrio Ecológico y la Protección del Ambiente</w:t>
            </w:r>
          </w:p>
        </w:tc>
      </w:tr>
      <w:tr w:rsidR="00AD41CA" w14:paraId="4992BA16" w14:textId="77777777" w:rsidTr="00236A10">
        <w:tc>
          <w:tcPr>
            <w:tcW w:w="3936" w:type="dxa"/>
          </w:tcPr>
          <w:p w14:paraId="10D7DE0C" w14:textId="77777777" w:rsidR="00AD41CA" w:rsidRDefault="00AD41CA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6E2529" w14:textId="77777777" w:rsidR="00AD41CA" w:rsidRPr="00A75C13" w:rsidRDefault="00AD41CA" w:rsidP="00236A1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A75C13">
              <w:rPr>
                <w:rFonts w:ascii="Arial" w:hAnsi="Arial" w:cs="Arial"/>
                <w:sz w:val="24"/>
                <w:szCs w:val="24"/>
              </w:rPr>
              <w:t>Planeación Socioeconómica y Urbana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0947594" w14:textId="77777777" w:rsidR="00AD41CA" w:rsidRDefault="00AD41CA" w:rsidP="00EF318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6A6F86E1" w14:textId="77777777" w:rsidR="003D5541" w:rsidRDefault="003D5541" w:rsidP="003D554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  <w:sz w:val="24"/>
                <w:szCs w:val="24"/>
              </w:rPr>
              <w:t>17 Junio</w:t>
            </w:r>
          </w:p>
        </w:tc>
        <w:tc>
          <w:tcPr>
            <w:tcW w:w="7509" w:type="dxa"/>
          </w:tcPr>
          <w:p w14:paraId="539656F4" w14:textId="77777777" w:rsidR="00AD41CA" w:rsidRPr="003D5541" w:rsidRDefault="003D5541" w:rsidP="00EF3180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3D5541">
              <w:rPr>
                <w:rFonts w:ascii="Arial" w:hAnsi="Arial" w:cs="Arial"/>
                <w:sz w:val="24"/>
                <w:szCs w:val="24"/>
              </w:rPr>
              <w:t>Estudio, análisis y en su caso aprobación del dictamen que tiene por objeto la aprobación del "Plan de Desarrollo Urbano de Centro de Población y Planes Parciales de Desarrollo Urbano".</w:t>
            </w:r>
          </w:p>
        </w:tc>
      </w:tr>
    </w:tbl>
    <w:p w14:paraId="1CF9C9F7" w14:textId="77777777" w:rsidR="00AD41CA" w:rsidRDefault="00AD41CA" w:rsidP="00AD41CA">
      <w:pPr>
        <w:tabs>
          <w:tab w:val="left" w:pos="1410"/>
        </w:tabs>
        <w:rPr>
          <w:rFonts w:ascii="Arial Black" w:hAnsi="Arial Black"/>
          <w:u w:val="single"/>
        </w:rPr>
      </w:pPr>
    </w:p>
    <w:p w14:paraId="35C5D8C1" w14:textId="77777777" w:rsidR="00AD41CA" w:rsidRPr="00E644A5" w:rsidRDefault="00AD41CA" w:rsidP="00AD41CA">
      <w:pPr>
        <w:pStyle w:val="Prrafodelista"/>
        <w:framePr w:hSpace="141" w:wrap="around" w:vAnchor="text" w:hAnchor="margin" w:y="188"/>
        <w:tabs>
          <w:tab w:val="left" w:pos="737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2193DA8" w14:textId="77777777" w:rsidR="000E7B56" w:rsidRDefault="00AD41CA" w:rsidP="00AD41CA">
      <w:r w:rsidRPr="00A8397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consulta de las actividades realizadas durante el periodo de </w:t>
      </w:r>
      <w:r w:rsidR="00EF3180">
        <w:rPr>
          <w:rFonts w:ascii="Arial" w:eastAsia="Times New Roman" w:hAnsi="Arial" w:cs="Arial"/>
          <w:sz w:val="24"/>
          <w:szCs w:val="24"/>
          <w:lang w:val="es-ES" w:eastAsia="es-ES"/>
        </w:rPr>
        <w:t>Abril a Juni</w:t>
      </w:r>
      <w:r w:rsidRPr="00A8397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o, se encuentran en el link: </w:t>
      </w:r>
      <w:hyperlink r:id="rId6" w:history="1">
        <w:r w:rsidRPr="00A8397E">
          <w:rPr>
            <w:rStyle w:val="Hipervnculo"/>
            <w:rFonts w:ascii="Arial" w:hAnsi="Arial" w:cs="Arial"/>
          </w:rPr>
          <w:t>https://transparencia.tlaquepaque.gob.mx/agenda/agenda-diaria-actividades-regidores/</w:t>
        </w:r>
      </w:hyperlink>
    </w:p>
    <w:sectPr w:rsidR="000E7B56" w:rsidSect="00EF3180">
      <w:headerReference w:type="default" r:id="rId7"/>
      <w:pgSz w:w="15840" w:h="12240" w:orient="landscape"/>
      <w:pgMar w:top="1134" w:right="1418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970B5" w14:textId="77777777" w:rsidR="00EF3180" w:rsidRDefault="00EF3180" w:rsidP="00EF3180">
      <w:pPr>
        <w:spacing w:after="0" w:line="240" w:lineRule="auto"/>
      </w:pPr>
      <w:r>
        <w:separator/>
      </w:r>
    </w:p>
  </w:endnote>
  <w:endnote w:type="continuationSeparator" w:id="0">
    <w:p w14:paraId="24C42F63" w14:textId="77777777" w:rsidR="00EF3180" w:rsidRDefault="00EF3180" w:rsidP="00EF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0BD5" w14:textId="77777777" w:rsidR="00EF3180" w:rsidRDefault="00EF3180" w:rsidP="00EF3180">
      <w:pPr>
        <w:spacing w:after="0" w:line="240" w:lineRule="auto"/>
      </w:pPr>
      <w:r>
        <w:separator/>
      </w:r>
    </w:p>
  </w:footnote>
  <w:footnote w:type="continuationSeparator" w:id="0">
    <w:p w14:paraId="0BFCE790" w14:textId="77777777" w:rsidR="00EF3180" w:rsidRDefault="00EF3180" w:rsidP="00EF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BBB7E" w14:textId="77777777" w:rsidR="00EF3180" w:rsidRDefault="00EF318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D8EBE5" wp14:editId="19DE762D">
              <wp:simplePos x="0" y="0"/>
              <wp:positionH relativeFrom="margin">
                <wp:posOffset>7895645</wp:posOffset>
              </wp:positionH>
              <wp:positionV relativeFrom="topMargin">
                <wp:posOffset>222388</wp:posOffset>
              </wp:positionV>
              <wp:extent cx="542925" cy="504000"/>
              <wp:effectExtent l="57150" t="38100" r="85725" b="86995"/>
              <wp:wrapNone/>
              <wp:docPr id="659" name="Óva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04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tint val="50000"/>
                              <a:satMod val="300000"/>
                            </a:srgbClr>
                          </a:gs>
                          <a:gs pos="35000">
                            <a:srgbClr val="8064A2">
                              <a:tint val="37000"/>
                              <a:satMod val="300000"/>
                            </a:srgbClr>
                          </a:gs>
                          <a:gs pos="100000">
                            <a:srgbClr val="8064A2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6DF52805" w14:textId="77777777" w:rsidR="00EF3180" w:rsidRPr="00B272F8" w:rsidRDefault="00EF3180" w:rsidP="00EF318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272F8">
                            <w:rPr>
                              <w:color w:val="000000" w:themeColor="text1"/>
                              <w:szCs w:val="21"/>
                            </w:rPr>
                            <w:fldChar w:fldCharType="begin"/>
                          </w:r>
                          <w:r w:rsidRPr="00B272F8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B272F8">
                            <w:rPr>
                              <w:color w:val="000000" w:themeColor="text1"/>
                              <w:szCs w:val="21"/>
                            </w:rPr>
                            <w:fldChar w:fldCharType="separate"/>
                          </w:r>
                          <w:r w:rsidR="00F755E3" w:rsidRPr="00F755E3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B272F8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1D8EBE5" id="Óvalo 12" o:spid="_x0000_s1026" style="position:absolute;margin-left:621.7pt;margin-top:17.5pt;width:4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" o:allowincell="f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 inset="0,,0">
                <w:txbxContent>
                  <w:p w14:paraId="6DF52805" w14:textId="77777777" w:rsidR="00EF3180" w:rsidRPr="00B272F8" w:rsidRDefault="00EF3180" w:rsidP="00EF3180">
                    <w:pPr>
                      <w:pStyle w:val="Piedepgina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B272F8">
                      <w:rPr>
                        <w:color w:val="000000" w:themeColor="text1"/>
                        <w:szCs w:val="21"/>
                      </w:rPr>
                      <w:fldChar w:fldCharType="begin"/>
                    </w:r>
                    <w:r w:rsidRPr="00B272F8">
                      <w:rPr>
                        <w:color w:val="000000" w:themeColor="text1"/>
                      </w:rPr>
                      <w:instrText>PAGE    \* MERGEFORMAT</w:instrText>
                    </w:r>
                    <w:r w:rsidRPr="00B272F8">
                      <w:rPr>
                        <w:color w:val="000000" w:themeColor="text1"/>
                        <w:szCs w:val="21"/>
                      </w:rPr>
                      <w:fldChar w:fldCharType="separate"/>
                    </w:r>
                    <w:r w:rsidR="00F755E3" w:rsidRPr="00F755E3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:lang w:val="es-ES"/>
                      </w:rPr>
                      <w:t>2</w:t>
                    </w:r>
                    <w:r w:rsidRPr="00B272F8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s-MX"/>
      </w:rPr>
      <w:drawing>
        <wp:inline distT="0" distB="0" distL="0" distR="0" wp14:anchorId="066868DA" wp14:editId="6E8B3820">
          <wp:extent cx="1333500" cy="904875"/>
          <wp:effectExtent l="0" t="0" r="0" b="9525"/>
          <wp:docPr id="1" name="Imagen 1" descr="Archivo:Tlaquepaque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ivo:Tlaquepaque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CA"/>
    <w:rsid w:val="000E7B56"/>
    <w:rsid w:val="003D5541"/>
    <w:rsid w:val="004A7FAC"/>
    <w:rsid w:val="00AD41CA"/>
    <w:rsid w:val="00EF3180"/>
    <w:rsid w:val="00F34226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259168"/>
  <w15:docId w15:val="{1A610548-3DAD-40EE-BE8C-382BC47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D41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41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3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180"/>
  </w:style>
  <w:style w:type="paragraph" w:styleId="Piedepgina">
    <w:name w:val="footer"/>
    <w:basedOn w:val="Normal"/>
    <w:link w:val="PiedepginaCar"/>
    <w:uiPriority w:val="99"/>
    <w:unhideWhenUsed/>
    <w:rsid w:val="00EF3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180"/>
  </w:style>
  <w:style w:type="paragraph" w:styleId="Textodeglobo">
    <w:name w:val="Balloon Text"/>
    <w:basedOn w:val="Normal"/>
    <w:link w:val="TextodegloboCar"/>
    <w:uiPriority w:val="99"/>
    <w:semiHidden/>
    <w:unhideWhenUsed/>
    <w:rsid w:val="003D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tlaquepaque.gob.mx/agenda/agenda-diaria-actividades-regidor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dcterms:created xsi:type="dcterms:W3CDTF">2021-07-06T16:40:00Z</dcterms:created>
  <dcterms:modified xsi:type="dcterms:W3CDTF">2021-07-06T16:40:00Z</dcterms:modified>
</cp:coreProperties>
</file>