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424"/>
        <w:gridCol w:w="1128"/>
        <w:gridCol w:w="1375"/>
        <w:gridCol w:w="1375"/>
        <w:gridCol w:w="1376"/>
        <w:gridCol w:w="1376"/>
      </w:tblGrid>
      <w:tr w:rsidR="006521EA" w:rsidTr="005A4520">
        <w:tc>
          <w:tcPr>
            <w:tcW w:w="2489" w:type="dxa"/>
          </w:tcPr>
          <w:p w:rsidR="006521EA" w:rsidRDefault="006521EA">
            <w:bookmarkStart w:id="0" w:name="_GoBack"/>
            <w:bookmarkEnd w:id="0"/>
            <w:r>
              <w:t>Temporalidad:</w:t>
            </w:r>
          </w:p>
        </w:tc>
        <w:tc>
          <w:tcPr>
            <w:tcW w:w="6565" w:type="dxa"/>
            <w:gridSpan w:val="5"/>
          </w:tcPr>
          <w:p w:rsidR="006521EA" w:rsidRDefault="000E5789" w:rsidP="000E5789">
            <w:r>
              <w:t>Abril, mayo, junio 2020</w:t>
            </w:r>
          </w:p>
        </w:tc>
      </w:tr>
      <w:tr w:rsidR="00C065F5" w:rsidTr="005A4520">
        <w:tc>
          <w:tcPr>
            <w:tcW w:w="2489" w:type="dxa"/>
          </w:tcPr>
          <w:p w:rsidR="00C065F5" w:rsidRDefault="006521EA">
            <w:r>
              <w:t>Tipo de informe:</w:t>
            </w:r>
          </w:p>
        </w:tc>
        <w:tc>
          <w:tcPr>
            <w:tcW w:w="731" w:type="dxa"/>
          </w:tcPr>
          <w:p w:rsidR="00C065F5" w:rsidRDefault="000E5789" w:rsidP="000E5789">
            <w:r>
              <w:t>Trimestral</w:t>
            </w:r>
          </w:p>
        </w:tc>
        <w:tc>
          <w:tcPr>
            <w:tcW w:w="1458" w:type="dxa"/>
          </w:tcPr>
          <w:p w:rsidR="00C065F5" w:rsidRDefault="00C065F5"/>
        </w:tc>
        <w:tc>
          <w:tcPr>
            <w:tcW w:w="1458" w:type="dxa"/>
          </w:tcPr>
          <w:p w:rsidR="00C065F5" w:rsidRDefault="00C065F5"/>
        </w:tc>
        <w:tc>
          <w:tcPr>
            <w:tcW w:w="1459" w:type="dxa"/>
          </w:tcPr>
          <w:p w:rsidR="00C065F5" w:rsidRDefault="00C065F5"/>
        </w:tc>
        <w:tc>
          <w:tcPr>
            <w:tcW w:w="1459" w:type="dxa"/>
          </w:tcPr>
          <w:p w:rsidR="00C065F5" w:rsidRDefault="00C065F5"/>
        </w:tc>
      </w:tr>
      <w:tr w:rsidR="006521EA" w:rsidTr="005A4520">
        <w:tc>
          <w:tcPr>
            <w:tcW w:w="2489" w:type="dxa"/>
          </w:tcPr>
          <w:p w:rsidR="006521EA" w:rsidRDefault="006521EA">
            <w:r>
              <w:t>Presidenta de la Comisión</w:t>
            </w:r>
          </w:p>
        </w:tc>
        <w:tc>
          <w:tcPr>
            <w:tcW w:w="6565" w:type="dxa"/>
            <w:gridSpan w:val="5"/>
          </w:tcPr>
          <w:p w:rsidR="006521EA" w:rsidRDefault="006521EA">
            <w:r>
              <w:t>Hogla Bustos Serrano</w:t>
            </w:r>
          </w:p>
        </w:tc>
      </w:tr>
    </w:tbl>
    <w:p w:rsidR="001358F6" w:rsidRDefault="00864F4D"/>
    <w:p w:rsidR="005A4520" w:rsidRDefault="005A4520">
      <w:r>
        <w:t>Fundamento Legal:</w:t>
      </w:r>
    </w:p>
    <w:p w:rsidR="005A4520" w:rsidRDefault="005A4520">
      <w:r>
        <w:t>CAPITULO III DE LAS COMISIONES EDILICIAS PERMANENTES Y SUS ATRIBUCIONES ARTÍCULO 23.- Las Comisiones permanentes del Ayuntamiento serán:</w:t>
      </w:r>
    </w:p>
    <w:p w:rsidR="00686F6F" w:rsidRDefault="00686F6F" w:rsidP="00686F6F">
      <w:pPr>
        <w:tabs>
          <w:tab w:val="left" w:pos="709"/>
        </w:tabs>
        <w:jc w:val="both"/>
        <w:rPr>
          <w:rFonts w:ascii="Arial" w:hAnsi="Arial" w:cs="Arial"/>
          <w:sz w:val="18"/>
          <w:szCs w:val="18"/>
          <w:lang w:val="es-ES_tradnl"/>
        </w:rPr>
      </w:pPr>
      <w:r w:rsidRPr="0088232A">
        <w:rPr>
          <w:rFonts w:ascii="Arial" w:hAnsi="Arial" w:cs="Arial"/>
          <w:b/>
          <w:spacing w:val="-3"/>
          <w:sz w:val="18"/>
          <w:szCs w:val="18"/>
        </w:rPr>
        <w:t>Artículo 92.-</w:t>
      </w:r>
      <w:r w:rsidRPr="0088232A">
        <w:rPr>
          <w:rFonts w:ascii="Arial" w:hAnsi="Arial" w:cs="Arial"/>
          <w:sz w:val="18"/>
          <w:szCs w:val="18"/>
          <w:lang w:val="es-ES_tradnl"/>
        </w:rPr>
        <w:t>Las comisiones permanentes serán:</w:t>
      </w:r>
    </w:p>
    <w:p w:rsidR="00686F6F" w:rsidRDefault="00686F6F" w:rsidP="00686F6F">
      <w:r>
        <w:t>XI. Turismo y Espectáculos;</w:t>
      </w:r>
    </w:p>
    <w:p w:rsidR="00686F6F" w:rsidRPr="0088232A" w:rsidRDefault="00686F6F" w:rsidP="00686F6F">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Artículo113.-</w:t>
      </w:r>
      <w:r w:rsidRPr="0088232A">
        <w:rPr>
          <w:rFonts w:ascii="Arial" w:hAnsi="Arial" w:cs="Arial"/>
          <w:sz w:val="18"/>
          <w:szCs w:val="18"/>
        </w:rPr>
        <w:t>Compete a la Comisión de Igualdad de Género:</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 xml:space="preserve">Procurar que el Ayuntamiento colabore con las demás autoridades y organismos estatales, nacionales e internacionales para la </w:t>
      </w:r>
      <w:proofErr w:type="spellStart"/>
      <w:r w:rsidRPr="0088232A">
        <w:rPr>
          <w:rFonts w:ascii="Arial" w:hAnsi="Arial" w:cs="Arial"/>
          <w:sz w:val="18"/>
          <w:szCs w:val="18"/>
        </w:rPr>
        <w:t>transversalización</w:t>
      </w:r>
      <w:proofErr w:type="spellEnd"/>
      <w:r w:rsidRPr="0088232A">
        <w:rPr>
          <w:rFonts w:ascii="Arial" w:hAnsi="Arial" w:cs="Arial"/>
          <w:sz w:val="18"/>
          <w:szCs w:val="18"/>
        </w:rPr>
        <w:t xml:space="preserve"> de la perspectiva de género en el marco de los Derechos Humanos de las Mujeres; conforme a los Tratados Internacionales, la legislación federal y estatal vigente, así como los programas en materia de igualdad de género y no violencia contra las mujeres. </w:t>
      </w:r>
    </w:p>
    <w:p w:rsidR="00686F6F" w:rsidRPr="0088232A" w:rsidRDefault="00686F6F" w:rsidP="00686F6F">
      <w:pPr>
        <w:autoSpaceDE w:val="0"/>
        <w:jc w:val="both"/>
        <w:rPr>
          <w:rFonts w:ascii="Arial" w:hAnsi="Arial" w:cs="Arial"/>
          <w:b/>
          <w:bCs/>
          <w:sz w:val="18"/>
          <w:szCs w:val="18"/>
        </w:rPr>
      </w:pPr>
    </w:p>
    <w:p w:rsidR="00686F6F" w:rsidRPr="0088232A" w:rsidRDefault="00686F6F" w:rsidP="00686F6F">
      <w:pPr>
        <w:autoSpaceDE w:val="0"/>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686F6F" w:rsidRPr="0088232A" w:rsidRDefault="00686F6F" w:rsidP="00686F6F">
      <w:pPr>
        <w:autoSpaceDE w:val="0"/>
        <w:jc w:val="both"/>
        <w:rPr>
          <w:rFonts w:ascii="Arial" w:hAnsi="Arial" w:cs="Arial"/>
          <w:bCs/>
          <w:sz w:val="18"/>
          <w:szCs w:val="18"/>
        </w:rPr>
      </w:pPr>
    </w:p>
    <w:p w:rsidR="00686F6F" w:rsidRPr="0088232A" w:rsidRDefault="00686F6F" w:rsidP="00686F6F">
      <w:pPr>
        <w:autoSpaceDE w:val="0"/>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686F6F" w:rsidRPr="00686F6F" w:rsidRDefault="00686F6F"/>
    <w:p w:rsidR="006C36E6" w:rsidRDefault="006C36E6"/>
    <w:p w:rsidR="006C36E6" w:rsidRPr="0088232A" w:rsidRDefault="006C36E6" w:rsidP="006C36E6">
      <w:pPr>
        <w:tabs>
          <w:tab w:val="left" w:pos="709"/>
        </w:tabs>
        <w:jc w:val="both"/>
        <w:rPr>
          <w:rFonts w:ascii="Arial" w:hAnsi="Arial" w:cs="Arial"/>
          <w:sz w:val="18"/>
          <w:szCs w:val="18"/>
        </w:rPr>
      </w:pPr>
      <w:r w:rsidRPr="0088232A">
        <w:rPr>
          <w:rFonts w:ascii="Arial" w:hAnsi="Arial" w:cs="Arial"/>
          <w:b/>
          <w:sz w:val="18"/>
          <w:szCs w:val="18"/>
        </w:rPr>
        <w:t>Artículo36.-</w:t>
      </w:r>
      <w:r w:rsidRPr="0088232A">
        <w:rPr>
          <w:rFonts w:ascii="Arial" w:hAnsi="Arial" w:cs="Arial"/>
          <w:sz w:val="18"/>
          <w:szCs w:val="18"/>
        </w:rPr>
        <w:t xml:space="preserve"> Son facultades de las y los regidores:</w:t>
      </w:r>
    </w:p>
    <w:p w:rsidR="006C36E6" w:rsidRPr="0088232A" w:rsidRDefault="006C36E6" w:rsidP="006C36E6">
      <w:pPr>
        <w:tabs>
          <w:tab w:val="left" w:pos="709"/>
        </w:tabs>
        <w:jc w:val="both"/>
        <w:rPr>
          <w:rFonts w:ascii="Arial" w:hAnsi="Arial" w:cs="Arial"/>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municipales, en los términos del presente reglamento;</w:t>
      </w:r>
    </w:p>
    <w:p w:rsidR="006C36E6" w:rsidRPr="0088232A" w:rsidRDefault="006C36E6" w:rsidP="006C36E6">
      <w:pPr>
        <w:ind w:left="720"/>
        <w:jc w:val="both"/>
        <w:rPr>
          <w:rFonts w:ascii="Arial" w:hAnsi="Arial" w:cs="Arial"/>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6C36E6" w:rsidRPr="0088232A" w:rsidRDefault="006C36E6" w:rsidP="006C36E6">
      <w:pPr>
        <w:ind w:left="720"/>
        <w:jc w:val="both"/>
        <w:rPr>
          <w:rFonts w:ascii="Arial" w:hAnsi="Arial" w:cs="Arial"/>
          <w:sz w:val="18"/>
          <w:szCs w:val="18"/>
        </w:rPr>
      </w:pPr>
    </w:p>
    <w:p w:rsidR="006C36E6" w:rsidRPr="0088232A" w:rsidRDefault="006C36E6" w:rsidP="006C36E6">
      <w:pPr>
        <w:tabs>
          <w:tab w:val="left" w:pos="1429"/>
        </w:tabs>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escrito  a sesiones ordinarias y extraordinarias al Ayuntamiento. Cuando el Presidente Municipal se rehusé a citar a sesión sin causa justificada, la mayoría absoluta de los integrantes del Ayuntamiento pueden hacerlo, en los términos del presente reglamento;</w:t>
      </w:r>
    </w:p>
    <w:p w:rsidR="006C36E6" w:rsidRPr="0088232A" w:rsidRDefault="006C36E6" w:rsidP="006C36E6">
      <w:pPr>
        <w:ind w:left="720"/>
        <w:jc w:val="both"/>
        <w:rPr>
          <w:rFonts w:ascii="Arial" w:hAnsi="Arial" w:cs="Arial"/>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6C36E6" w:rsidRPr="0088232A" w:rsidRDefault="006C36E6" w:rsidP="006C36E6">
      <w:pPr>
        <w:ind w:left="720"/>
        <w:jc w:val="both"/>
        <w:rPr>
          <w:rFonts w:ascii="Arial" w:hAnsi="Arial" w:cs="Arial"/>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6C36E6" w:rsidRPr="0088232A" w:rsidRDefault="006C36E6" w:rsidP="006C36E6">
      <w:pPr>
        <w:ind w:left="720"/>
        <w:jc w:val="both"/>
        <w:rPr>
          <w:rFonts w:ascii="Arial" w:hAnsi="Arial" w:cs="Arial"/>
          <w:b/>
          <w:bCs/>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6C36E6" w:rsidRPr="0088232A" w:rsidRDefault="006C36E6" w:rsidP="006C36E6">
      <w:pPr>
        <w:ind w:left="720"/>
        <w:jc w:val="both"/>
        <w:rPr>
          <w:rFonts w:ascii="Arial" w:hAnsi="Arial" w:cs="Arial"/>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6C36E6" w:rsidRPr="0088232A" w:rsidRDefault="006C36E6" w:rsidP="006C36E6">
      <w:pPr>
        <w:ind w:left="720"/>
        <w:jc w:val="both"/>
        <w:rPr>
          <w:rFonts w:ascii="Arial" w:hAnsi="Arial" w:cs="Arial"/>
          <w:sz w:val="18"/>
          <w:szCs w:val="18"/>
        </w:rPr>
      </w:pPr>
    </w:p>
    <w:p w:rsidR="006C36E6" w:rsidRPr="0088232A" w:rsidRDefault="006C36E6" w:rsidP="006C36E6">
      <w:pPr>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6C36E6" w:rsidRDefault="00686F6F">
      <w:r>
        <w:t xml:space="preserve">Constitución </w:t>
      </w:r>
      <w:proofErr w:type="spellStart"/>
      <w:r>
        <w:t>Politica</w:t>
      </w:r>
      <w:proofErr w:type="spellEnd"/>
      <w:r>
        <w:t xml:space="preserve"> de los Estados Unidos Mexicanos</w:t>
      </w:r>
    </w:p>
    <w:p w:rsidR="00686F6F" w:rsidRDefault="00686F6F">
      <w:r>
        <w:t>Articulo 155.- (…)</w:t>
      </w:r>
    </w:p>
    <w:p w:rsidR="00686F6F" w:rsidRDefault="00686F6F">
      <w:r>
        <w:t>(…)</w:t>
      </w:r>
    </w:p>
    <w:p w:rsidR="00EA474B" w:rsidRDefault="00EA474B"/>
    <w:p w:rsidR="00EA474B" w:rsidRDefault="0077312D">
      <w:r>
        <w:lastRenderedPageBreak/>
        <w:t>LEY DEL GOBIERNO Y LA ADMINISTRACIÓN PÚBLICA MUNICIPAL DEL ESTADO DE JALISCO</w:t>
      </w:r>
    </w:p>
    <w:p w:rsidR="0077312D" w:rsidRDefault="0077312D" w:rsidP="0077312D">
      <w:r>
        <w:t>CAPÍTULO V</w:t>
      </w:r>
    </w:p>
    <w:p w:rsidR="0077312D" w:rsidRDefault="0077312D" w:rsidP="0077312D">
      <w:r>
        <w:t>De las Comisiones</w:t>
      </w:r>
    </w:p>
    <w:p w:rsidR="0077312D" w:rsidRDefault="0077312D" w:rsidP="0077312D">
      <w:r>
        <w:t>Artículo 27. Los Ayuntamientos, para el estudio, vigilancia y atención de los diversos asuntos que</w:t>
      </w:r>
    </w:p>
    <w:p w:rsidR="0077312D" w:rsidRDefault="0077312D" w:rsidP="0077312D">
      <w:proofErr w:type="gramStart"/>
      <w:r>
        <w:t>les</w:t>
      </w:r>
      <w:proofErr w:type="gramEnd"/>
      <w:r>
        <w:t xml:space="preserve"> corresponda conocer, deben funcionar mediante comisiones.</w:t>
      </w:r>
    </w:p>
    <w:p w:rsidR="0077312D" w:rsidRDefault="0077312D" w:rsidP="0077312D">
      <w:r>
        <w:t>Los ediles pueden eximirse de presidir comisiones, pero cada munícipe debe estar integrado por lo</w:t>
      </w:r>
    </w:p>
    <w:p w:rsidR="0077312D" w:rsidRDefault="0077312D" w:rsidP="0077312D">
      <w:proofErr w:type="gramStart"/>
      <w:r>
        <w:t>menos</w:t>
      </w:r>
      <w:proofErr w:type="gramEnd"/>
      <w:r>
        <w:t xml:space="preserve"> a dos comisiones, en los términos de la reglamentación respectiva.</w:t>
      </w:r>
    </w:p>
    <w:p w:rsidR="0077312D" w:rsidRDefault="0077312D" w:rsidP="0077312D">
      <w:r>
        <w:t>La denominación de las comisiones, sus características, obligaciones y facultades, deben ser</w:t>
      </w:r>
    </w:p>
    <w:p w:rsidR="0077312D" w:rsidRDefault="0077312D" w:rsidP="0077312D">
      <w:proofErr w:type="gramStart"/>
      <w:r>
        <w:t>establecidas</w:t>
      </w:r>
      <w:proofErr w:type="gramEnd"/>
      <w:r>
        <w:t xml:space="preserve"> en los reglamentos que para tal efecto expida el Ayuntamiento.</w:t>
      </w:r>
    </w:p>
    <w:p w:rsidR="0077312D" w:rsidRDefault="0077312D" w:rsidP="0077312D">
      <w:r>
        <w:t>Las comisiones pueden ser permanentes o transitorias, con integración preferentemente colegiada</w:t>
      </w:r>
    </w:p>
    <w:p w:rsidR="0077312D" w:rsidRDefault="0077312D" w:rsidP="0077312D">
      <w:proofErr w:type="gramStart"/>
      <w:r>
        <w:t>para</w:t>
      </w:r>
      <w:proofErr w:type="gramEnd"/>
      <w:r>
        <w:t xml:space="preserve"> su funcionamiento y desempeño, y bajo ninguna circunstancia pueden tener facultades</w:t>
      </w:r>
    </w:p>
    <w:p w:rsidR="0077312D" w:rsidRDefault="0077312D" w:rsidP="0077312D">
      <w:proofErr w:type="gramStart"/>
      <w:r>
        <w:t>ejecutivas</w:t>
      </w:r>
      <w:proofErr w:type="gramEnd"/>
      <w:r>
        <w:t>.</w:t>
      </w:r>
    </w:p>
    <w:p w:rsidR="0077312D" w:rsidRDefault="0077312D" w:rsidP="0077312D">
      <w:r>
        <w:t>Las reuniones que celebren las comisiones son públicas por regla general, salvo que sus</w:t>
      </w:r>
    </w:p>
    <w:p w:rsidR="0077312D" w:rsidRDefault="0077312D" w:rsidP="0077312D">
      <w:proofErr w:type="gramStart"/>
      <w:r>
        <w:t>integrantes</w:t>
      </w:r>
      <w:proofErr w:type="gramEnd"/>
      <w:r>
        <w:t xml:space="preserve"> decidan, por causas justificadas y de conformidad con sus disposiciones</w:t>
      </w:r>
    </w:p>
    <w:p w:rsidR="0077312D" w:rsidRDefault="0077312D" w:rsidP="0077312D">
      <w:proofErr w:type="gramStart"/>
      <w:r>
        <w:t>reglamentarias</w:t>
      </w:r>
      <w:proofErr w:type="gramEnd"/>
      <w:r>
        <w:t xml:space="preserve"> aplicables, que se celebren de forma reservada.</w:t>
      </w:r>
    </w:p>
    <w:p w:rsidR="0077312D" w:rsidRDefault="0077312D" w:rsidP="0077312D">
      <w:r>
        <w:t>En los Ayuntamientos que tengan quince ediles o más, las comisiones permanentes siempre son</w:t>
      </w:r>
    </w:p>
    <w:p w:rsidR="0077312D" w:rsidRDefault="0077312D" w:rsidP="0077312D">
      <w:proofErr w:type="gramStart"/>
      <w:r>
        <w:t>colegiadas</w:t>
      </w:r>
      <w:proofErr w:type="gramEnd"/>
      <w:r>
        <w:t>.</w:t>
      </w:r>
    </w:p>
    <w:p w:rsidR="0077312D" w:rsidRDefault="0077312D" w:rsidP="0077312D">
      <w:r>
        <w:t>Los ayuntamientos establecen en sus respectivos reglamentos el plazo en que cada comisión</w:t>
      </w:r>
    </w:p>
    <w:p w:rsidR="0077312D" w:rsidRDefault="0077312D" w:rsidP="0077312D">
      <w:proofErr w:type="gramStart"/>
      <w:r>
        <w:t>edilicia</w:t>
      </w:r>
      <w:proofErr w:type="gramEnd"/>
      <w:r>
        <w:t xml:space="preserve"> debe dar cuenta de los asuntos que le sean turnados. A falta de disposición reglamentaria,</w:t>
      </w:r>
    </w:p>
    <w:p w:rsidR="0077312D" w:rsidRDefault="0077312D" w:rsidP="0077312D">
      <w:proofErr w:type="gramStart"/>
      <w:r>
        <w:t>los</w:t>
      </w:r>
      <w:proofErr w:type="gramEnd"/>
      <w:r>
        <w:t xml:space="preserve"> asuntos deben dictaminarse en un plazo no mayor a cuarenta y cinco días naturales contados a</w:t>
      </w:r>
    </w:p>
    <w:p w:rsidR="0077312D" w:rsidRDefault="0077312D" w:rsidP="0077312D">
      <w:proofErr w:type="gramStart"/>
      <w:r>
        <w:t>partir</w:t>
      </w:r>
      <w:proofErr w:type="gramEnd"/>
      <w:r>
        <w:t xml:space="preserve"> del día posterior a que le sean turnados, mismos que pueden ser prorrogables en los</w:t>
      </w:r>
    </w:p>
    <w:p w:rsidR="0077312D" w:rsidRDefault="0077312D" w:rsidP="0077312D">
      <w:proofErr w:type="gramStart"/>
      <w:r>
        <w:t>términos</w:t>
      </w:r>
      <w:proofErr w:type="gramEnd"/>
      <w:r>
        <w:t xml:space="preserve"> de la reglamentación municipal.</w:t>
      </w:r>
    </w:p>
    <w:p w:rsidR="0077312D" w:rsidRDefault="0077312D" w:rsidP="0077312D">
      <w:r>
        <w:t>Artículo 28. En su primera sesión, el Ayuntamiento debe asignar las comisiones de acuerdo a los</w:t>
      </w:r>
    </w:p>
    <w:p w:rsidR="0077312D" w:rsidRDefault="0077312D" w:rsidP="0077312D">
      <w:proofErr w:type="gramStart"/>
      <w:r>
        <w:t>reglamentos</w:t>
      </w:r>
      <w:proofErr w:type="gramEnd"/>
      <w:r>
        <w:t xml:space="preserve"> correspondientes, a propuesta del Presidente Municipal</w:t>
      </w:r>
    </w:p>
    <w:p w:rsidR="0077312D" w:rsidRDefault="0077312D" w:rsidP="0077312D">
      <w:r>
        <w:t>TÍTULO SEXTO</w:t>
      </w:r>
    </w:p>
    <w:p w:rsidR="0077312D" w:rsidRDefault="0077312D" w:rsidP="0077312D">
      <w:r>
        <w:lastRenderedPageBreak/>
        <w:t>DE LOS SERVICIOS PÚBLICOS MUNICIPALES</w:t>
      </w:r>
    </w:p>
    <w:p w:rsidR="0077312D" w:rsidRDefault="0077312D" w:rsidP="0077312D">
      <w:r>
        <w:t>CAPÍTULO I</w:t>
      </w:r>
    </w:p>
    <w:p w:rsidR="0077312D" w:rsidRDefault="0077312D" w:rsidP="0077312D">
      <w:r>
        <w:t>Modalidades en su Prestación</w:t>
      </w:r>
    </w:p>
    <w:p w:rsidR="0077312D" w:rsidRDefault="0077312D" w:rsidP="0077312D">
      <w:r>
        <w:t>Artículo 94. Se consideran servicios públicos municipales los siguientes:</w:t>
      </w:r>
    </w:p>
    <w:p w:rsidR="0077312D" w:rsidRDefault="0077312D" w:rsidP="0077312D">
      <w:r>
        <w:t>I. Agua potable, drenaje, alcantarillado, tratamiento y disposición de sus aguas residuales;</w:t>
      </w:r>
    </w:p>
    <w:p w:rsidR="0077312D" w:rsidRDefault="0077312D" w:rsidP="0077312D">
      <w:r>
        <w:t>II. Alumbrado público;</w:t>
      </w:r>
    </w:p>
    <w:p w:rsidR="0077312D" w:rsidRDefault="0077312D" w:rsidP="0077312D">
      <w:r>
        <w:t>III. Limpia, recolección, traslado, tratamiento y disposición final de residuos;</w:t>
      </w:r>
    </w:p>
    <w:p w:rsidR="0077312D" w:rsidRDefault="0077312D" w:rsidP="0077312D">
      <w:r>
        <w:t>IV. Mercados y centrales de abastos;</w:t>
      </w:r>
    </w:p>
    <w:p w:rsidR="0077312D" w:rsidRDefault="0077312D" w:rsidP="0077312D">
      <w:r>
        <w:t>V. Rastros y servicios complementarios;</w:t>
      </w:r>
    </w:p>
    <w:p w:rsidR="0077312D" w:rsidRDefault="0077312D" w:rsidP="0077312D">
      <w:r>
        <w:t>VI. Estacionamientos municipales;</w:t>
      </w:r>
    </w:p>
    <w:p w:rsidR="0077312D" w:rsidRDefault="0077312D" w:rsidP="0077312D">
      <w:r>
        <w:t>VII. Panteones;</w:t>
      </w:r>
    </w:p>
    <w:p w:rsidR="0077312D" w:rsidRDefault="0077312D" w:rsidP="0077312D">
      <w:r>
        <w:t>VIII. Calles, parques y jardines y su equipamiento;</w:t>
      </w:r>
    </w:p>
    <w:p w:rsidR="0077312D" w:rsidRDefault="0077312D" w:rsidP="0077312D">
      <w:r>
        <w:t>IX. Seguridad pública, policía preventiva municipal y tránsito;</w:t>
      </w:r>
    </w:p>
    <w:p w:rsidR="0077312D" w:rsidRDefault="0077312D" w:rsidP="0077312D">
      <w:r>
        <w:t>X. Centros deportivos municipales;</w:t>
      </w:r>
    </w:p>
    <w:p w:rsidR="0077312D" w:rsidRDefault="0077312D" w:rsidP="0077312D">
      <w:r>
        <w:t>XI. Centros culturales municipales; y</w:t>
      </w:r>
    </w:p>
    <w:p w:rsidR="0077312D" w:rsidRDefault="0077312D" w:rsidP="0077312D">
      <w:r>
        <w:t>28</w:t>
      </w:r>
    </w:p>
    <w:p w:rsidR="0077312D" w:rsidRDefault="0077312D" w:rsidP="0077312D">
      <w:r>
        <w:t>XII. Los demás que el Congreso del Estado determine en atención a las condiciones territoriales y</w:t>
      </w:r>
    </w:p>
    <w:p w:rsidR="0077312D" w:rsidRDefault="0077312D" w:rsidP="0077312D">
      <w:proofErr w:type="gramStart"/>
      <w:r>
        <w:t>socioeconómicas</w:t>
      </w:r>
      <w:proofErr w:type="gramEnd"/>
      <w:r>
        <w:t xml:space="preserve"> de los Municipios, así como a su capacidad administrativa y financiera.</w:t>
      </w:r>
    </w:p>
    <w:p w:rsidR="0077312D" w:rsidRDefault="0077312D" w:rsidP="0077312D">
      <w:r>
        <w:t>Los Municipios deben expedir los ordenamientos municipales que regulen la prestación de estos.</w:t>
      </w:r>
    </w:p>
    <w:p w:rsidR="0077312D" w:rsidRDefault="0077312D" w:rsidP="0077312D"/>
    <w:p w:rsidR="0077312D" w:rsidRDefault="0077312D" w:rsidP="0077312D">
      <w:r>
        <w:t>Artículo 97. Los Municipios, previo acuerdo entre sus Ayuntamientos, pueden coordinarse para la más eficaz prestación de los servicios públicos o el mejor ejercicio de las funciones que les correspondan. Los citados convenios deben cumplir los requisitos que señala el artículo anterior.</w:t>
      </w:r>
    </w:p>
    <w:p w:rsidR="00C8658C" w:rsidRDefault="00C8658C" w:rsidP="00C8658C">
      <w:r>
        <w:t>Artículo119.- Compete a la Comisión de Asuntos Metropolitanos:</w:t>
      </w:r>
    </w:p>
    <w:p w:rsidR="00C8658C" w:rsidRDefault="00C8658C" w:rsidP="00C8658C"/>
    <w:p w:rsidR="00C8658C" w:rsidRDefault="00C8658C" w:rsidP="00C8658C">
      <w:r>
        <w:t>I. Velar por la aplicación y observancia de las disposiciones legales en la materia;</w:t>
      </w:r>
    </w:p>
    <w:p w:rsidR="00C8658C" w:rsidRDefault="00C8658C" w:rsidP="00C8658C"/>
    <w:p w:rsidR="00C8658C" w:rsidRDefault="00C8658C" w:rsidP="00C8658C">
      <w:r>
        <w:t>II. Proponer y dictaminar las iniciativas que en la materia sean sometidas a consideración del Ayuntamiento;</w:t>
      </w:r>
    </w:p>
    <w:p w:rsidR="00C8658C" w:rsidRDefault="00C8658C" w:rsidP="00C8658C"/>
    <w:p w:rsidR="00C8658C" w:rsidRDefault="00C8658C" w:rsidP="00C8658C">
      <w:r>
        <w:t xml:space="preserve">III. Realizar los estudios pertinentes respecto del tema de la </w:t>
      </w:r>
      <w:proofErr w:type="spellStart"/>
      <w:r>
        <w:t>metropolización</w:t>
      </w:r>
      <w:proofErr w:type="spellEnd"/>
      <w:r>
        <w:t xml:space="preserve"> a efecto de orientar la política que en esta materia deba emprender el Municipio;</w:t>
      </w:r>
    </w:p>
    <w:p w:rsidR="00C8658C" w:rsidRDefault="00C8658C" w:rsidP="00C8658C"/>
    <w:p w:rsidR="00C8658C" w:rsidRDefault="00C8658C" w:rsidP="00C8658C">
      <w:r>
        <w:t>IV. Estudiar la conveniencia y promover la celebración de convenios de coordinación y colaboración en el ejercicio de la función pública, entre los Municipios que integran la Zona Metropolitana de Guadalajara; y</w:t>
      </w:r>
    </w:p>
    <w:p w:rsidR="00C8658C" w:rsidRDefault="00C8658C" w:rsidP="00C8658C"/>
    <w:p w:rsidR="00C8658C" w:rsidRDefault="00C8658C" w:rsidP="00C8658C">
      <w:r>
        <w:t>V. Orientar y asesorar a quien funja como titular de la Presidencia Municipal en la materia.</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142.-</w:t>
      </w:r>
      <w:r w:rsidRPr="00C8658C">
        <w:rPr>
          <w:rFonts w:ascii="Arial" w:eastAsia="Times New Roman" w:hAnsi="Arial" w:cs="Arial"/>
          <w:sz w:val="18"/>
          <w:szCs w:val="18"/>
          <w:lang w:val="es-ES" w:eastAsia="ar-SA"/>
        </w:rPr>
        <w:t xml:space="preserve">La facultad de presentar Iniciativas corresponde al Presidente Municipal, Síndico, Regidores y Comisiones Edilicias, pudiendo ser de forma individual o </w:t>
      </w:r>
      <w:proofErr w:type="spellStart"/>
      <w:r w:rsidRPr="00C8658C">
        <w:rPr>
          <w:rFonts w:ascii="Arial" w:eastAsia="Times New Roman" w:hAnsi="Arial" w:cs="Arial"/>
          <w:sz w:val="18"/>
          <w:szCs w:val="18"/>
          <w:lang w:val="es-ES" w:eastAsia="ar-SA"/>
        </w:rPr>
        <w:t>conjunta.La</w:t>
      </w:r>
      <w:proofErr w:type="spellEnd"/>
      <w:r w:rsidRPr="00C8658C">
        <w:rPr>
          <w:rFonts w:ascii="Arial" w:eastAsia="Times New Roman" w:hAnsi="Arial" w:cs="Arial"/>
          <w:sz w:val="18"/>
          <w:szCs w:val="18"/>
          <w:lang w:val="es-ES" w:eastAsia="ar-SA"/>
        </w:rPr>
        <w:t xml:space="preserve">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144.-</w:t>
      </w:r>
      <w:r w:rsidRPr="00C8658C">
        <w:rPr>
          <w:rFonts w:ascii="Arial" w:eastAsia="Times New Roman" w:hAnsi="Arial" w:cs="Arial"/>
          <w:sz w:val="18"/>
          <w:szCs w:val="18"/>
          <w:lang w:val="es-ES" w:eastAsia="ar-SA"/>
        </w:rPr>
        <w:t>Los titulares de dependencias o entidades de la Administración Pública a que se refiere el Artículo anterior solo lo podrán hacer con ese carácter cuando su propuesta verse o tenga injerencia con las funciones encomendadas.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145.-</w:t>
      </w:r>
      <w:r w:rsidRPr="00C8658C">
        <w:rPr>
          <w:rFonts w:ascii="Arial" w:eastAsia="Times New Roman" w:hAnsi="Arial" w:cs="Arial"/>
          <w:sz w:val="18"/>
          <w:szCs w:val="18"/>
          <w:lang w:val="es-ES" w:eastAsia="ar-SA"/>
        </w:rPr>
        <w:t xml:space="preserve"> Las Iniciativas, tanto de Ordenamiento, como de disposiciones administrativas, circulares o acuerdos, pueden ser:</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w:t>
      </w:r>
      <w:r w:rsidRPr="00C8658C">
        <w:rPr>
          <w:rFonts w:ascii="Arial" w:eastAsia="Times New Roman" w:hAnsi="Arial" w:cs="Arial"/>
          <w:sz w:val="18"/>
          <w:szCs w:val="18"/>
          <w:lang w:val="es-ES" w:eastAsia="ar-SA"/>
        </w:rPr>
        <w:t xml:space="preserve"> Para turno a Comisiones; y</w:t>
      </w:r>
    </w:p>
    <w:p w:rsidR="00C8658C" w:rsidRPr="00C8658C" w:rsidRDefault="00C8658C" w:rsidP="00C8658C">
      <w:pPr>
        <w:tabs>
          <w:tab w:val="left" w:pos="709"/>
        </w:tabs>
        <w:suppressAutoHyphens/>
        <w:spacing w:after="0"/>
        <w:jc w:val="both"/>
        <w:rPr>
          <w:rFonts w:ascii="Arial" w:eastAsia="Times New Roman" w:hAnsi="Arial" w:cs="Arial"/>
          <w:b/>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w:t>
      </w:r>
      <w:r w:rsidRPr="00C8658C">
        <w:rPr>
          <w:rFonts w:ascii="Arial" w:eastAsia="Times New Roman" w:hAnsi="Arial" w:cs="Arial"/>
          <w:sz w:val="18"/>
          <w:szCs w:val="18"/>
          <w:lang w:val="es-ES" w:eastAsia="ar-SA"/>
        </w:rPr>
        <w:t xml:space="preserve"> De aprobación directa.</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C8658C">
        <w:rPr>
          <w:rFonts w:ascii="Arial" w:eastAsia="Times New Roman" w:hAnsi="Arial" w:cs="Arial"/>
          <w:sz w:val="18"/>
          <w:szCs w:val="18"/>
          <w:lang w:val="es-ES" w:eastAsia="ar-SA"/>
        </w:rPr>
        <w:t>agendadas</w:t>
      </w:r>
      <w:proofErr w:type="spellEnd"/>
      <w:r w:rsidRPr="00C8658C">
        <w:rPr>
          <w:rFonts w:ascii="Arial" w:eastAsia="Times New Roman" w:hAnsi="Arial" w:cs="Arial"/>
          <w:sz w:val="18"/>
          <w:szCs w:val="18"/>
          <w:lang w:val="es-ES" w:eastAsia="ar-SA"/>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146.-</w:t>
      </w:r>
      <w:r w:rsidRPr="00C8658C">
        <w:rPr>
          <w:rFonts w:ascii="Arial" w:eastAsia="Times New Roman" w:hAnsi="Arial" w:cs="Arial"/>
          <w:sz w:val="18"/>
          <w:szCs w:val="18"/>
          <w:lang w:val="es-ES" w:eastAsia="ar-SA"/>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Tratándose de iniciativas de ordenamientos deberán ser aprobadas tanto en lo general como en lo particular por la mayoría de los miembros del Ayuntamiento.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lastRenderedPageBreak/>
        <w:t>Artículo 147.-</w:t>
      </w:r>
      <w:r w:rsidRPr="00C8658C">
        <w:rPr>
          <w:rFonts w:ascii="Arial" w:eastAsia="Times New Roman" w:hAnsi="Arial" w:cs="Arial"/>
          <w:sz w:val="18"/>
          <w:szCs w:val="18"/>
          <w:lang w:val="es-ES" w:eastAsia="ar-SA"/>
        </w:rPr>
        <w:t>Las iniciativas de Aprobación Directa, son aquellas que en casos justificados en el mismo momento en que se ponen del conocimiento del Ayuntamiento o se presenta la iniciativa, pueden ser sometidas a su consideración para su análisis, debate y aprobación.</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En caso de que así lo determine el Ayuntamiento, estas iniciativas deberán ser turnadas a las comisiones respectivas, para su estudio y análisis, de acuerdo al procedimiento establecido en el presente Reglamento.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Articulo 148.-</w:t>
      </w:r>
      <w:r w:rsidRPr="00C8658C">
        <w:rPr>
          <w:rFonts w:ascii="Arial" w:eastAsia="Times New Roman" w:hAnsi="Arial" w:cs="Arial"/>
          <w:sz w:val="18"/>
          <w:szCs w:val="18"/>
          <w:lang w:val="es-ES" w:eastAsia="ar-SA"/>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 xml:space="preserve">De no ser aprobada la calidad procedimental de la iniciativa por la mayoría simple del Pleno es entonces que se vota el turno a comisiones edilicias que correspondan. </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149.-</w:t>
      </w:r>
      <w:r w:rsidRPr="00C8658C">
        <w:rPr>
          <w:rFonts w:ascii="Arial" w:eastAsia="Times New Roman" w:hAnsi="Arial" w:cs="Arial"/>
          <w:sz w:val="18"/>
          <w:szCs w:val="18"/>
          <w:lang w:val="es-ES" w:eastAsia="ar-SA"/>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Pr="00C8658C">
        <w:rPr>
          <w:rFonts w:ascii="Arial" w:eastAsia="Times New Roman" w:hAnsi="Arial" w:cs="Arial"/>
          <w:spacing w:val="-3"/>
          <w:sz w:val="18"/>
          <w:szCs w:val="18"/>
          <w:lang w:val="es-ES" w:eastAsia="ar-SA"/>
        </w:rPr>
        <w:t xml:space="preserve">Secretaria del Ayuntamiento </w:t>
      </w:r>
      <w:r w:rsidRPr="00C8658C">
        <w:rPr>
          <w:rFonts w:ascii="Arial" w:eastAsia="Times New Roman" w:hAnsi="Arial" w:cs="Arial"/>
          <w:sz w:val="18"/>
          <w:szCs w:val="18"/>
          <w:lang w:val="es-ES" w:eastAsia="ar-SA"/>
        </w:rPr>
        <w:t>para efectos de su certificación y emisión de la constancia correspondiente.</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150.-</w:t>
      </w:r>
      <w:r w:rsidRPr="00C8658C">
        <w:rPr>
          <w:rFonts w:ascii="Arial" w:eastAsia="Times New Roman" w:hAnsi="Arial" w:cs="Arial"/>
          <w:sz w:val="18"/>
          <w:szCs w:val="18"/>
          <w:lang w:val="es-ES" w:eastAsia="ar-SA"/>
        </w:rPr>
        <w:t>Las Iniciativas de Ordenamientos Municipales se presentan en sesión del pleno del Ayuntamiento, mediante escrito firmado por los munícipes o por las Comisiones Edilicias que las formulen, debiendo contener, como mínimo: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w:t>
      </w:r>
      <w:r w:rsidRPr="00C8658C">
        <w:rPr>
          <w:rFonts w:ascii="Arial" w:eastAsia="Times New Roman" w:hAnsi="Arial" w:cs="Arial"/>
          <w:sz w:val="18"/>
          <w:szCs w:val="18"/>
          <w:lang w:val="es-ES" w:eastAsia="ar-SA"/>
        </w:rPr>
        <w:t xml:space="preserve"> Materia que se pretenda regular;</w:t>
      </w:r>
    </w:p>
    <w:p w:rsidR="00C8658C" w:rsidRPr="00C8658C" w:rsidRDefault="00C8658C" w:rsidP="00C8658C">
      <w:pPr>
        <w:tabs>
          <w:tab w:val="left" w:pos="709"/>
        </w:tabs>
        <w:suppressAutoHyphens/>
        <w:spacing w:after="0"/>
        <w:jc w:val="both"/>
        <w:rPr>
          <w:rFonts w:ascii="Arial" w:eastAsia="Times New Roman" w:hAnsi="Arial" w:cs="Arial"/>
          <w:b/>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w:t>
      </w:r>
      <w:r w:rsidRPr="00C8658C">
        <w:rPr>
          <w:rFonts w:ascii="Arial" w:eastAsia="Times New Roman" w:hAnsi="Arial" w:cs="Arial"/>
          <w:sz w:val="18"/>
          <w:szCs w:val="18"/>
          <w:lang w:val="es-ES" w:eastAsia="ar-SA"/>
        </w:rPr>
        <w:t xml:space="preserve"> Fundamento Jurídico;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III.</w:t>
      </w:r>
      <w:r w:rsidRPr="00C8658C">
        <w:rPr>
          <w:rFonts w:ascii="Arial" w:eastAsia="Times New Roman" w:hAnsi="Arial" w:cs="Arial"/>
          <w:sz w:val="18"/>
          <w:szCs w:val="18"/>
          <w:lang w:val="es-ES" w:eastAsia="ar-SA"/>
        </w:rPr>
        <w:t xml:space="preserve"> Exposición de motivos;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IV.</w:t>
      </w:r>
      <w:r w:rsidRPr="00C8658C">
        <w:rPr>
          <w:rFonts w:ascii="Arial" w:eastAsia="Times New Roman" w:hAnsi="Arial" w:cs="Arial"/>
          <w:sz w:val="18"/>
          <w:szCs w:val="18"/>
          <w:lang w:val="es-ES" w:eastAsia="ar-SA"/>
        </w:rPr>
        <w:t xml:space="preserve"> Señalamiento de las Comisiones Edilicias a las que será girado el turno, especificando la Comisión convocante y en su caso las coadyuvantes; y</w:t>
      </w:r>
    </w:p>
    <w:p w:rsidR="00C8658C" w:rsidRPr="00C8658C" w:rsidRDefault="00C8658C" w:rsidP="00C8658C">
      <w:pPr>
        <w:tabs>
          <w:tab w:val="left" w:pos="709"/>
        </w:tabs>
        <w:suppressAutoHyphens/>
        <w:spacing w:after="0"/>
        <w:jc w:val="both"/>
        <w:rPr>
          <w:rFonts w:ascii="Arial" w:eastAsia="Times New Roman" w:hAnsi="Arial" w:cs="Arial"/>
          <w:b/>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 xml:space="preserve">V. </w:t>
      </w:r>
      <w:r w:rsidRPr="00C8658C">
        <w:rPr>
          <w:rFonts w:ascii="Arial" w:eastAsia="Times New Roman" w:hAnsi="Arial" w:cs="Arial"/>
          <w:sz w:val="18"/>
          <w:szCs w:val="18"/>
          <w:lang w:val="es-ES" w:eastAsia="ar-SA"/>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151.-</w:t>
      </w:r>
      <w:r w:rsidRPr="00C8658C">
        <w:rPr>
          <w:rFonts w:ascii="Arial" w:eastAsia="Times New Roman" w:hAnsi="Arial" w:cs="Arial"/>
          <w:sz w:val="18"/>
          <w:szCs w:val="18"/>
          <w:lang w:val="es-ES" w:eastAsia="ar-SA"/>
        </w:rPr>
        <w:t xml:space="preserve"> Las Iniciativas de Acuerdo Administrativo deberán contener:</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w:t>
      </w:r>
      <w:r w:rsidRPr="00C8658C">
        <w:rPr>
          <w:rFonts w:ascii="Arial" w:eastAsia="Times New Roman" w:hAnsi="Arial" w:cs="Arial"/>
          <w:sz w:val="18"/>
          <w:szCs w:val="18"/>
          <w:lang w:val="es-ES" w:eastAsia="ar-SA"/>
        </w:rPr>
        <w:t xml:space="preserve"> Fundamento Jurídico;</w:t>
      </w:r>
    </w:p>
    <w:p w:rsidR="00C8658C" w:rsidRPr="00C8658C" w:rsidRDefault="00C8658C" w:rsidP="00C8658C">
      <w:pPr>
        <w:tabs>
          <w:tab w:val="left" w:pos="709"/>
        </w:tabs>
        <w:suppressAutoHyphens/>
        <w:spacing w:after="0"/>
        <w:jc w:val="both"/>
        <w:rPr>
          <w:rFonts w:ascii="Arial" w:eastAsia="Times New Roman" w:hAnsi="Arial" w:cs="Arial"/>
          <w:b/>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w:t>
      </w:r>
      <w:r w:rsidRPr="00C8658C">
        <w:rPr>
          <w:rFonts w:ascii="Arial" w:eastAsia="Times New Roman" w:hAnsi="Arial" w:cs="Arial"/>
          <w:sz w:val="18"/>
          <w:szCs w:val="18"/>
          <w:lang w:val="es-ES" w:eastAsia="ar-SA"/>
        </w:rPr>
        <w:t xml:space="preserve"> Exposición de motivos; y</w:t>
      </w:r>
    </w:p>
    <w:p w:rsidR="00C8658C" w:rsidRPr="00C8658C" w:rsidRDefault="00C8658C" w:rsidP="00C8658C">
      <w:pPr>
        <w:tabs>
          <w:tab w:val="left" w:pos="709"/>
        </w:tabs>
        <w:suppressAutoHyphens/>
        <w:spacing w:after="0"/>
        <w:jc w:val="both"/>
        <w:rPr>
          <w:rFonts w:ascii="Arial" w:eastAsia="Times New Roman" w:hAnsi="Arial" w:cs="Arial"/>
          <w:b/>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III.</w:t>
      </w:r>
      <w:r w:rsidRPr="00C8658C">
        <w:rPr>
          <w:rFonts w:ascii="Arial" w:eastAsia="Times New Roman" w:hAnsi="Arial" w:cs="Arial"/>
          <w:sz w:val="18"/>
          <w:szCs w:val="18"/>
          <w:lang w:val="es-ES" w:eastAsia="ar-SA"/>
        </w:rPr>
        <w:t xml:space="preserve"> Propuesta concreta de puntos de acuerdo que se pretende emita el Ayuntamiento.</w:t>
      </w:r>
    </w:p>
    <w:p w:rsidR="00C8658C" w:rsidRPr="00C8658C" w:rsidRDefault="00C8658C" w:rsidP="00C8658C">
      <w:pPr>
        <w:tabs>
          <w:tab w:val="left" w:pos="709"/>
        </w:tabs>
        <w:suppressAutoHyphens/>
        <w:spacing w:after="0"/>
        <w:jc w:val="center"/>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center"/>
        <w:rPr>
          <w:rFonts w:ascii="Arial" w:eastAsia="Times New Roman" w:hAnsi="Arial" w:cs="Arial"/>
          <w:b/>
          <w:sz w:val="18"/>
          <w:szCs w:val="18"/>
          <w:lang w:val="es-ES" w:eastAsia="ar-SA"/>
        </w:rPr>
      </w:pPr>
      <w:r w:rsidRPr="00C8658C">
        <w:rPr>
          <w:rFonts w:ascii="Arial" w:eastAsia="Times New Roman" w:hAnsi="Arial" w:cs="Arial"/>
          <w:b/>
          <w:sz w:val="18"/>
          <w:szCs w:val="18"/>
          <w:lang w:val="es-ES" w:eastAsia="ar-SA"/>
        </w:rPr>
        <w:t>Capítulo XVI</w:t>
      </w:r>
    </w:p>
    <w:p w:rsidR="00C8658C" w:rsidRPr="00C8658C" w:rsidRDefault="00C8658C" w:rsidP="00C8658C">
      <w:pPr>
        <w:tabs>
          <w:tab w:val="left" w:pos="709"/>
        </w:tabs>
        <w:suppressAutoHyphens/>
        <w:spacing w:after="0"/>
        <w:jc w:val="center"/>
        <w:rPr>
          <w:rFonts w:ascii="Arial" w:eastAsia="Times New Roman" w:hAnsi="Arial" w:cs="Arial"/>
          <w:b/>
          <w:sz w:val="18"/>
          <w:szCs w:val="18"/>
          <w:lang w:val="es-ES" w:eastAsia="ar-SA"/>
        </w:rPr>
      </w:pPr>
      <w:r w:rsidRPr="00C8658C">
        <w:rPr>
          <w:rFonts w:ascii="Arial" w:eastAsia="Times New Roman" w:hAnsi="Arial" w:cs="Arial"/>
          <w:b/>
          <w:sz w:val="18"/>
          <w:szCs w:val="18"/>
          <w:lang w:val="es-ES" w:eastAsia="ar-SA"/>
        </w:rPr>
        <w:t>DE LOS DICTÁMENES</w:t>
      </w:r>
    </w:p>
    <w:p w:rsidR="00C8658C" w:rsidRPr="00C8658C" w:rsidRDefault="00C8658C" w:rsidP="00C8658C">
      <w:pPr>
        <w:tabs>
          <w:tab w:val="left" w:pos="709"/>
        </w:tabs>
        <w:suppressAutoHyphens/>
        <w:spacing w:after="0"/>
        <w:jc w:val="center"/>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152.-</w:t>
      </w:r>
      <w:r w:rsidRPr="00C8658C">
        <w:rPr>
          <w:rFonts w:ascii="Arial" w:eastAsia="Times New Roman" w:hAnsi="Arial" w:cs="Arial"/>
          <w:sz w:val="18"/>
          <w:szCs w:val="18"/>
          <w:lang w:val="es-ES" w:eastAsia="ar-SA"/>
        </w:rPr>
        <w:t xml:space="preserve">El dictamen, es un documento escrito, a través del cual, las Comisiones Edilicias elaboran un razonamiento lógico jurídico que plasmado en el cuerpo de éste, dota así al Pleno del Ayuntamiento de los </w:t>
      </w:r>
      <w:r w:rsidRPr="00C8658C">
        <w:rPr>
          <w:rFonts w:ascii="Arial" w:eastAsia="Times New Roman" w:hAnsi="Arial" w:cs="Arial"/>
          <w:sz w:val="18"/>
          <w:szCs w:val="18"/>
          <w:lang w:val="es-ES" w:eastAsia="ar-SA"/>
        </w:rPr>
        <w:lastRenderedPageBreak/>
        <w:t>elementos necesarios para el efecto de aprobar o rechazar la iniciativa que haya dado origen a tal instrumento.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153.-</w:t>
      </w:r>
      <w:r w:rsidRPr="00C8658C">
        <w:rPr>
          <w:rFonts w:ascii="Arial" w:eastAsia="Times New Roman" w:hAnsi="Arial" w:cs="Arial"/>
          <w:sz w:val="18"/>
          <w:szCs w:val="18"/>
          <w:lang w:val="es-ES" w:eastAsia="ar-SA"/>
        </w:rPr>
        <w:t xml:space="preserve">Presentadas ante el Ayuntamiento y una vez aprobadas, las iniciativas se turnan por conducto de la </w:t>
      </w:r>
      <w:r w:rsidRPr="00C8658C">
        <w:rPr>
          <w:rFonts w:ascii="Arial" w:eastAsia="Times New Roman" w:hAnsi="Arial" w:cs="Arial"/>
          <w:spacing w:val="-3"/>
          <w:sz w:val="18"/>
          <w:szCs w:val="18"/>
          <w:lang w:val="es-ES" w:eastAsia="ar-SA"/>
        </w:rPr>
        <w:t xml:space="preserve">Secretaria del </w:t>
      </w:r>
      <w:proofErr w:type="spellStart"/>
      <w:r w:rsidRPr="00C8658C">
        <w:rPr>
          <w:rFonts w:ascii="Arial" w:eastAsia="Times New Roman" w:hAnsi="Arial" w:cs="Arial"/>
          <w:spacing w:val="-3"/>
          <w:sz w:val="18"/>
          <w:szCs w:val="18"/>
          <w:lang w:val="es-ES" w:eastAsia="ar-SA"/>
        </w:rPr>
        <w:t>Ayuntamiento</w:t>
      </w:r>
      <w:r w:rsidRPr="00C8658C">
        <w:rPr>
          <w:rFonts w:ascii="Arial" w:eastAsia="Times New Roman" w:hAnsi="Arial" w:cs="Arial"/>
          <w:sz w:val="18"/>
          <w:szCs w:val="18"/>
          <w:lang w:val="es-ES" w:eastAsia="ar-SA"/>
        </w:rPr>
        <w:t>a</w:t>
      </w:r>
      <w:proofErr w:type="spellEnd"/>
      <w:r w:rsidRPr="00C8658C">
        <w:rPr>
          <w:rFonts w:ascii="Arial" w:eastAsia="Times New Roman" w:hAnsi="Arial" w:cs="Arial"/>
          <w:sz w:val="18"/>
          <w:szCs w:val="18"/>
          <w:lang w:val="es-ES" w:eastAsia="ar-SA"/>
        </w:rPr>
        <w:t xml:space="preserve"> las Comisiones Edilicias que correspondan para su estudio y dictamen, para el desarrollo del procedimiento antes especificado.</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154.-</w:t>
      </w:r>
      <w:r w:rsidRPr="00C8658C">
        <w:rPr>
          <w:rFonts w:ascii="Arial" w:eastAsia="Times New Roman" w:hAnsi="Arial" w:cs="Arial"/>
          <w:sz w:val="18"/>
          <w:szCs w:val="18"/>
          <w:lang w:val="es-ES" w:eastAsia="ar-SA"/>
        </w:rPr>
        <w:t>Las Comisiones deben emitir su dictamen, en los términos del presente reglamento, reuniendo los siguientes elementos: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w:t>
      </w:r>
      <w:r w:rsidRPr="00C8658C">
        <w:rPr>
          <w:rFonts w:ascii="Arial" w:eastAsia="Times New Roman" w:hAnsi="Arial" w:cs="Arial"/>
          <w:sz w:val="18"/>
          <w:szCs w:val="18"/>
          <w:lang w:val="es-ES" w:eastAsia="ar-SA"/>
        </w:rPr>
        <w:t xml:space="preserve"> Nombre de las Comisiones Edilicias que dictaminan;</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w:t>
      </w:r>
      <w:r w:rsidRPr="00C8658C">
        <w:rPr>
          <w:rFonts w:ascii="Arial" w:eastAsia="Times New Roman" w:hAnsi="Arial" w:cs="Arial"/>
          <w:sz w:val="18"/>
          <w:szCs w:val="18"/>
          <w:lang w:val="es-ES" w:eastAsia="ar-SA"/>
        </w:rPr>
        <w:t xml:space="preserve"> Antecedentes;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III.</w:t>
      </w:r>
      <w:r w:rsidRPr="00C8658C">
        <w:rPr>
          <w:rFonts w:ascii="Arial" w:eastAsia="Times New Roman" w:hAnsi="Arial" w:cs="Arial"/>
          <w:sz w:val="18"/>
          <w:szCs w:val="18"/>
          <w:lang w:val="es-ES" w:eastAsia="ar-SA"/>
        </w:rPr>
        <w:t xml:space="preserve"> Consideraciones jurídicas y sociales en las que se apoye para aprobar o rechazar la iniciativa;</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IV.</w:t>
      </w:r>
      <w:r w:rsidRPr="00C8658C">
        <w:rPr>
          <w:rFonts w:ascii="Arial" w:eastAsia="Times New Roman" w:hAnsi="Arial" w:cs="Arial"/>
          <w:sz w:val="18"/>
          <w:szCs w:val="18"/>
          <w:lang w:val="es-ES" w:eastAsia="ar-SA"/>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V.</w:t>
      </w:r>
      <w:r w:rsidRPr="00C8658C">
        <w:rPr>
          <w:rFonts w:ascii="Arial" w:eastAsia="Times New Roman" w:hAnsi="Arial" w:cs="Arial"/>
          <w:sz w:val="18"/>
          <w:szCs w:val="18"/>
          <w:lang w:val="es-ES" w:eastAsia="ar-SA"/>
        </w:rPr>
        <w:t xml:space="preserve"> Firmas o rubricas autógrafas de los miembros de las Comisiones Edilicias dictaminadoras en cada una de sus fojas; y</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VI.</w:t>
      </w:r>
      <w:r w:rsidRPr="00C8658C">
        <w:rPr>
          <w:rFonts w:ascii="Arial" w:eastAsia="Times New Roman" w:hAnsi="Arial" w:cs="Arial"/>
          <w:sz w:val="18"/>
          <w:szCs w:val="18"/>
          <w:lang w:val="es-ES" w:eastAsia="ar-SA"/>
        </w:rPr>
        <w:t xml:space="preserve"> Anexos que sustenten el sentido del dictamen.</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155.-</w:t>
      </w:r>
      <w:r w:rsidRPr="00C8658C">
        <w:rPr>
          <w:rFonts w:ascii="Arial" w:eastAsia="Times New Roman" w:hAnsi="Arial" w:cs="Arial"/>
          <w:sz w:val="18"/>
          <w:szCs w:val="18"/>
          <w:lang w:val="es-ES" w:eastAsia="ar-SA"/>
        </w:rPr>
        <w:t>Antes de que se someta a votación un dictamen, cualquier munícipe puede solicitar que el dictamen regrese a Comisión, para mayores estudios y el Ayuntamiento decide si aprueba o no dicha solicitud.</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Si el Ayuntamiento decide que se regrese a Comisión, se debe cumplir el plazo establecido por este ordenamiento para su dictaminación.</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156.-</w:t>
      </w:r>
      <w:r w:rsidRPr="00C8658C">
        <w:rPr>
          <w:rFonts w:ascii="Arial" w:eastAsia="Times New Roman" w:hAnsi="Arial" w:cs="Arial"/>
          <w:sz w:val="18"/>
          <w:szCs w:val="18"/>
          <w:lang w:val="es-ES" w:eastAsia="ar-SA"/>
        </w:rPr>
        <w:t xml:space="preserve">Aprobado por el Ayuntamiento un proyecto de Ordenamiento, pasa a la </w:t>
      </w:r>
      <w:r w:rsidRPr="00C8658C">
        <w:rPr>
          <w:rFonts w:ascii="Arial" w:eastAsia="Times New Roman" w:hAnsi="Arial" w:cs="Arial"/>
          <w:spacing w:val="-3"/>
          <w:sz w:val="18"/>
          <w:szCs w:val="18"/>
          <w:lang w:val="es-ES" w:eastAsia="ar-SA"/>
        </w:rPr>
        <w:t>Secretaria del Ayuntamiento</w:t>
      </w:r>
      <w:r w:rsidR="00B34906">
        <w:rPr>
          <w:rFonts w:ascii="Arial" w:eastAsia="Times New Roman" w:hAnsi="Arial" w:cs="Arial"/>
          <w:spacing w:val="-3"/>
          <w:sz w:val="18"/>
          <w:szCs w:val="18"/>
          <w:lang w:val="es-ES" w:eastAsia="ar-SA"/>
        </w:rPr>
        <w:t xml:space="preserve"> </w:t>
      </w:r>
      <w:r w:rsidRPr="00C8658C">
        <w:rPr>
          <w:rFonts w:ascii="Arial" w:eastAsia="Times New Roman" w:hAnsi="Arial" w:cs="Arial"/>
          <w:sz w:val="18"/>
          <w:szCs w:val="18"/>
          <w:lang w:val="es-ES" w:eastAsia="ar-SA"/>
        </w:rPr>
        <w:t>para su obligatoria publicación; igual suerte correrán los Acuerdos Administrativos que por su objeto sean de trascendencia pública.</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 xml:space="preserve">La publicación debe hacerse en la Gaceta Oficial del Municipio en un plazo no mayor de sesenta días naturales contados a partir del día siguiente de su aprobación, lo cual debe certificar el servidor público encargado de la </w:t>
      </w:r>
      <w:r w:rsidRPr="00C8658C">
        <w:rPr>
          <w:rFonts w:ascii="Arial" w:eastAsia="Times New Roman" w:hAnsi="Arial" w:cs="Arial"/>
          <w:spacing w:val="-3"/>
          <w:sz w:val="18"/>
          <w:szCs w:val="18"/>
          <w:lang w:val="es-ES" w:eastAsia="ar-SA"/>
        </w:rPr>
        <w:t>Secretaría del Ayuntamiento</w:t>
      </w:r>
      <w:r w:rsidRPr="00C8658C">
        <w:rPr>
          <w:rFonts w:ascii="Arial" w:eastAsia="Times New Roman" w:hAnsi="Arial" w:cs="Arial"/>
          <w:sz w:val="18"/>
          <w:szCs w:val="18"/>
          <w:lang w:val="es-ES" w:eastAsia="ar-SA"/>
        </w:rPr>
        <w:t>.</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b/>
          <w:sz w:val="18"/>
          <w:szCs w:val="18"/>
          <w:lang w:val="es-ES" w:eastAsia="ar-SA"/>
        </w:rPr>
        <w:t>Artículo 157.-</w:t>
      </w:r>
      <w:r w:rsidRPr="00C8658C">
        <w:rPr>
          <w:rFonts w:ascii="Arial" w:eastAsia="Times New Roman" w:hAnsi="Arial" w:cs="Arial"/>
          <w:sz w:val="18"/>
          <w:szCs w:val="18"/>
          <w:lang w:val="es-ES" w:eastAsia="ar-SA"/>
        </w:rPr>
        <w:t>En el caso de que un dictamen sea rechazado por el Ayuntamiento, deberá presentarse de nueva cuenta la iniciativa ante el ayuntamiento.</w:t>
      </w:r>
    </w:p>
    <w:p w:rsidR="00C8658C" w:rsidRDefault="00C8658C" w:rsidP="00C8658C">
      <w:pPr>
        <w:tabs>
          <w:tab w:val="left" w:pos="709"/>
        </w:tabs>
        <w:suppressAutoHyphens/>
        <w:spacing w:after="0"/>
        <w:jc w:val="both"/>
        <w:rPr>
          <w:rFonts w:ascii="Arial" w:eastAsia="Times New Roman" w:hAnsi="Arial" w:cs="Arial"/>
          <w:sz w:val="18"/>
          <w:szCs w:val="18"/>
          <w:lang w:val="es-ES" w:eastAsia="ar-SA"/>
        </w:rPr>
      </w:pPr>
      <w:r w:rsidRPr="00C8658C">
        <w:rPr>
          <w:rFonts w:ascii="Arial" w:eastAsia="Times New Roman" w:hAnsi="Arial" w:cs="Arial"/>
          <w:sz w:val="18"/>
          <w:szCs w:val="18"/>
          <w:lang w:val="es-ES" w:eastAsia="ar-SA"/>
        </w:rPr>
        <w:t>Tratándose de dictámenes de Ordenamientos Municipales que sea rechazado por el Ayuntamiento, estos no podrán volver a presentarse hasta que transcurran seis meses.</w:t>
      </w:r>
    </w:p>
    <w:p w:rsidR="00B34906" w:rsidRDefault="00B34906" w:rsidP="00C8658C">
      <w:pPr>
        <w:tabs>
          <w:tab w:val="left" w:pos="709"/>
        </w:tabs>
        <w:suppressAutoHyphens/>
        <w:spacing w:after="0"/>
        <w:jc w:val="both"/>
        <w:rPr>
          <w:rFonts w:ascii="Arial" w:eastAsia="Times New Roman" w:hAnsi="Arial" w:cs="Arial"/>
          <w:sz w:val="18"/>
          <w:szCs w:val="18"/>
          <w:lang w:val="es-ES" w:eastAsia="ar-SA"/>
        </w:rPr>
      </w:pPr>
    </w:p>
    <w:p w:rsidR="00B34906" w:rsidRDefault="00B34906" w:rsidP="00C8658C">
      <w:pPr>
        <w:tabs>
          <w:tab w:val="left" w:pos="709"/>
        </w:tabs>
        <w:suppressAutoHyphens/>
        <w:spacing w:after="0"/>
        <w:jc w:val="both"/>
        <w:rPr>
          <w:rFonts w:ascii="Arial" w:eastAsia="Times New Roman" w:hAnsi="Arial" w:cs="Arial"/>
          <w:sz w:val="18"/>
          <w:szCs w:val="18"/>
          <w:lang w:val="es-ES" w:eastAsia="ar-SA"/>
        </w:rPr>
      </w:pPr>
      <w:r>
        <w:rPr>
          <w:rFonts w:ascii="Arial" w:eastAsia="Times New Roman" w:hAnsi="Arial" w:cs="Arial"/>
          <w:sz w:val="18"/>
          <w:szCs w:val="18"/>
          <w:lang w:val="es-ES" w:eastAsia="ar-SA"/>
        </w:rPr>
        <w:t>Objetivo General de la Comisiones:</w:t>
      </w:r>
    </w:p>
    <w:p w:rsidR="00B34906" w:rsidRPr="00C8658C" w:rsidRDefault="00B34906" w:rsidP="00C8658C">
      <w:pPr>
        <w:tabs>
          <w:tab w:val="left" w:pos="709"/>
        </w:tabs>
        <w:suppressAutoHyphens/>
        <w:spacing w:after="0"/>
        <w:jc w:val="both"/>
        <w:rPr>
          <w:rFonts w:ascii="Arial" w:eastAsia="Times New Roman" w:hAnsi="Arial" w:cs="Arial"/>
          <w:sz w:val="18"/>
          <w:szCs w:val="18"/>
          <w:lang w:val="es-ES" w:eastAsia="ar-SA"/>
        </w:rPr>
      </w:pPr>
      <w:r>
        <w:rPr>
          <w:rFonts w:ascii="Arial" w:eastAsia="Times New Roman" w:hAnsi="Arial" w:cs="Arial"/>
          <w:sz w:val="18"/>
          <w:szCs w:val="18"/>
          <w:lang w:val="es-ES" w:eastAsia="ar-SA"/>
        </w:rPr>
        <w:t>Objetivos especificos</w:t>
      </w:r>
    </w:p>
    <w:p w:rsidR="00C8658C" w:rsidRPr="00C8658C" w:rsidRDefault="00C8658C" w:rsidP="00C8658C">
      <w:pPr>
        <w:tabs>
          <w:tab w:val="left" w:pos="709"/>
        </w:tabs>
        <w:suppressAutoHyphens/>
        <w:spacing w:after="0"/>
        <w:jc w:val="both"/>
        <w:rPr>
          <w:rFonts w:ascii="Arial" w:eastAsia="Times New Roman" w:hAnsi="Arial" w:cs="Arial"/>
          <w:sz w:val="18"/>
          <w:szCs w:val="18"/>
          <w:lang w:val="es-ES" w:eastAsia="ar-SA"/>
        </w:rPr>
      </w:pPr>
    </w:p>
    <w:p w:rsidR="0077312D" w:rsidRPr="00C8658C" w:rsidRDefault="0077312D" w:rsidP="0077312D">
      <w:pPr>
        <w:rPr>
          <w:lang w:val="es-ES"/>
        </w:rPr>
      </w:pPr>
    </w:p>
    <w:p w:rsidR="0077312D" w:rsidRDefault="0077312D" w:rsidP="0077312D"/>
    <w:p w:rsidR="0077312D" w:rsidRDefault="0077312D" w:rsidP="0077312D"/>
    <w:sectPr w:rsidR="007731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4D" w:rsidRDefault="00864F4D" w:rsidP="00C065F5">
      <w:pPr>
        <w:spacing w:after="0" w:line="240" w:lineRule="auto"/>
      </w:pPr>
      <w:r>
        <w:separator/>
      </w:r>
    </w:p>
  </w:endnote>
  <w:endnote w:type="continuationSeparator" w:id="0">
    <w:p w:rsidR="00864F4D" w:rsidRDefault="00864F4D" w:rsidP="00C0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4D" w:rsidRDefault="00864F4D" w:rsidP="00C065F5">
      <w:pPr>
        <w:spacing w:after="0" w:line="240" w:lineRule="auto"/>
      </w:pPr>
      <w:r>
        <w:separator/>
      </w:r>
    </w:p>
  </w:footnote>
  <w:footnote w:type="continuationSeparator" w:id="0">
    <w:p w:rsidR="00864F4D" w:rsidRDefault="00864F4D" w:rsidP="00C0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2B96913276914A79AE300AB256CE0CF8"/>
      </w:placeholder>
      <w:dataBinding w:prefixMappings="xmlns:ns0='http://schemas.openxmlformats.org/package/2006/metadata/core-properties' xmlns:ns1='http://purl.org/dc/elements/1.1/'" w:xpath="/ns0:coreProperties[1]/ns1:title[1]" w:storeItemID="{6C3C8BC8-F283-45AE-878A-BAB7291924A1}"/>
      <w:text/>
    </w:sdtPr>
    <w:sdtEndPr/>
    <w:sdtContent>
      <w:p w:rsidR="00C065F5" w:rsidRDefault="000E578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2do. </w:t>
        </w:r>
        <w:r w:rsidR="006521EA">
          <w:rPr>
            <w:rFonts w:asciiTheme="majorHAnsi" w:eastAsiaTheme="majorEastAsia" w:hAnsiTheme="majorHAnsi" w:cstheme="majorBidi"/>
            <w:sz w:val="32"/>
            <w:szCs w:val="32"/>
          </w:rPr>
          <w:t xml:space="preserve">Informe </w:t>
        </w:r>
        <w:r>
          <w:rPr>
            <w:rFonts w:asciiTheme="majorHAnsi" w:eastAsiaTheme="majorEastAsia" w:hAnsiTheme="majorHAnsi" w:cstheme="majorBidi"/>
            <w:sz w:val="32"/>
            <w:szCs w:val="32"/>
          </w:rPr>
          <w:t xml:space="preserve">Trimestral </w:t>
        </w:r>
        <w:r w:rsidR="006521EA">
          <w:rPr>
            <w:rFonts w:asciiTheme="majorHAnsi" w:eastAsiaTheme="majorEastAsia" w:hAnsiTheme="majorHAnsi" w:cstheme="majorBidi"/>
            <w:sz w:val="32"/>
            <w:szCs w:val="32"/>
          </w:rPr>
          <w:t xml:space="preserve"> 20</w:t>
        </w:r>
        <w:r>
          <w:rPr>
            <w:rFonts w:asciiTheme="majorHAnsi" w:eastAsiaTheme="majorEastAsia" w:hAnsiTheme="majorHAnsi" w:cstheme="majorBidi"/>
            <w:sz w:val="32"/>
            <w:szCs w:val="32"/>
          </w:rPr>
          <w:t>20</w:t>
        </w:r>
      </w:p>
    </w:sdtContent>
  </w:sdt>
  <w:p w:rsidR="00C065F5" w:rsidRDefault="00C065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F5"/>
    <w:rsid w:val="000E5789"/>
    <w:rsid w:val="00183E69"/>
    <w:rsid w:val="003E2589"/>
    <w:rsid w:val="005A4520"/>
    <w:rsid w:val="0063582E"/>
    <w:rsid w:val="006521EA"/>
    <w:rsid w:val="00686F6F"/>
    <w:rsid w:val="006C0CC2"/>
    <w:rsid w:val="006C36E6"/>
    <w:rsid w:val="0077312D"/>
    <w:rsid w:val="00864F4D"/>
    <w:rsid w:val="00A638ED"/>
    <w:rsid w:val="00B34906"/>
    <w:rsid w:val="00C065F5"/>
    <w:rsid w:val="00C8658C"/>
    <w:rsid w:val="00EA474B"/>
    <w:rsid w:val="00EE5176"/>
    <w:rsid w:val="00FF0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6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6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5F5"/>
  </w:style>
  <w:style w:type="paragraph" w:styleId="Piedepgina">
    <w:name w:val="footer"/>
    <w:basedOn w:val="Normal"/>
    <w:link w:val="PiedepginaCar"/>
    <w:uiPriority w:val="99"/>
    <w:unhideWhenUsed/>
    <w:rsid w:val="00C06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5F5"/>
  </w:style>
  <w:style w:type="paragraph" w:styleId="Textodeglobo">
    <w:name w:val="Balloon Text"/>
    <w:basedOn w:val="Normal"/>
    <w:link w:val="TextodegloboCar"/>
    <w:uiPriority w:val="99"/>
    <w:semiHidden/>
    <w:unhideWhenUsed/>
    <w:rsid w:val="00C06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F5"/>
    <w:rPr>
      <w:rFonts w:ascii="Tahoma" w:hAnsi="Tahoma" w:cs="Tahoma"/>
      <w:sz w:val="16"/>
      <w:szCs w:val="16"/>
    </w:rPr>
  </w:style>
  <w:style w:type="paragraph" w:styleId="Sinespaciado">
    <w:name w:val="No Spacing"/>
    <w:uiPriority w:val="1"/>
    <w:qFormat/>
    <w:rsid w:val="00686F6F"/>
    <w:pPr>
      <w:suppressAutoHyphens/>
      <w:spacing w:after="0" w:line="240" w:lineRule="auto"/>
    </w:pPr>
    <w:rPr>
      <w:rFonts w:ascii="Times New Roman" w:eastAsia="Arial"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6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6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5F5"/>
  </w:style>
  <w:style w:type="paragraph" w:styleId="Piedepgina">
    <w:name w:val="footer"/>
    <w:basedOn w:val="Normal"/>
    <w:link w:val="PiedepginaCar"/>
    <w:uiPriority w:val="99"/>
    <w:unhideWhenUsed/>
    <w:rsid w:val="00C06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5F5"/>
  </w:style>
  <w:style w:type="paragraph" w:styleId="Textodeglobo">
    <w:name w:val="Balloon Text"/>
    <w:basedOn w:val="Normal"/>
    <w:link w:val="TextodegloboCar"/>
    <w:uiPriority w:val="99"/>
    <w:semiHidden/>
    <w:unhideWhenUsed/>
    <w:rsid w:val="00C06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F5"/>
    <w:rPr>
      <w:rFonts w:ascii="Tahoma" w:hAnsi="Tahoma" w:cs="Tahoma"/>
      <w:sz w:val="16"/>
      <w:szCs w:val="16"/>
    </w:rPr>
  </w:style>
  <w:style w:type="paragraph" w:styleId="Sinespaciado">
    <w:name w:val="No Spacing"/>
    <w:uiPriority w:val="1"/>
    <w:qFormat/>
    <w:rsid w:val="00686F6F"/>
    <w:pPr>
      <w:suppressAutoHyphens/>
      <w:spacing w:after="0" w:line="240" w:lineRule="auto"/>
    </w:pPr>
    <w:rPr>
      <w:rFonts w:ascii="Times New Roman" w:eastAsia="Arial"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96913276914A79AE300AB256CE0CF8"/>
        <w:category>
          <w:name w:val="General"/>
          <w:gallery w:val="placeholder"/>
        </w:category>
        <w:types>
          <w:type w:val="bbPlcHdr"/>
        </w:types>
        <w:behaviors>
          <w:behavior w:val="content"/>
        </w:behaviors>
        <w:guid w:val="{D0D00B82-C82A-4238-A538-36018CB664D9}"/>
      </w:docPartPr>
      <w:docPartBody>
        <w:p w:rsidR="00B72C90" w:rsidRDefault="006B7743" w:rsidP="006B7743">
          <w:pPr>
            <w:pStyle w:val="2B96913276914A79AE300AB256CE0CF8"/>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3"/>
    <w:rsid w:val="00494240"/>
    <w:rsid w:val="006B7743"/>
    <w:rsid w:val="00B72C90"/>
    <w:rsid w:val="00B915A3"/>
    <w:rsid w:val="00C04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96913276914A79AE300AB256CE0CF8">
    <w:name w:val="2B96913276914A79AE300AB256CE0CF8"/>
    <w:rsid w:val="006B77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96913276914A79AE300AB256CE0CF8">
    <w:name w:val="2B96913276914A79AE300AB256CE0CF8"/>
    <w:rsid w:val="006B7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2do. Informe Trimestral  2020</vt:lpstr>
    </vt:vector>
  </TitlesOfParts>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2do. Informe Trimestral  2020</dc:title>
  <dc:creator>Maria Guadalupe Vazquez Contreras</dc:creator>
  <cp:lastModifiedBy>Maria Guadalupe Vazquez Contreras</cp:lastModifiedBy>
  <cp:revision>2</cp:revision>
  <dcterms:created xsi:type="dcterms:W3CDTF">2020-08-03T15:09:00Z</dcterms:created>
  <dcterms:modified xsi:type="dcterms:W3CDTF">2020-08-03T15:09:00Z</dcterms:modified>
</cp:coreProperties>
</file>