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ORDEN DEL D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1RA. REUNI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N DEL CONSEJO MUNICIPAL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DESARROLLO ECON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MICO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SAN PEDRO TLAQUEPAQUE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17 de agosto de 2016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Bienvenida.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Lista de asistencia y declaraci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qu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rum legal.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Lectura y aprobaci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del orden del d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Mensaje de la Lic. Carolina Corona Gonz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>lez, Coordinadora General de Desarrollo Econ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mico y Combate a la Desigualdad.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Presentaci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del Reglamento del Consejo Municipal de Desarrollo Econ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mico.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Asuntos Varios: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Presentaci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proyecto de inversi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para otorgamiento de incentivos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7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3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