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pPr>
      <w:r w:rsidDel="00000000" w:rsidR="00000000" w:rsidRPr="00000000">
        <w:rPr>
          <w:rtl w:val="0"/>
        </w:rPr>
      </w:r>
    </w:p>
    <w:p w:rsidR="00000000" w:rsidDel="00000000" w:rsidP="00000000" w:rsidRDefault="00000000" w:rsidRPr="00000000" w14:paraId="00000001">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ACTA DE ENTREGA DE SOBRES CON DOCUMENTACIÓN LEGAL, PROPUESTAS TÉCNICA Y ECONÓMICA, Y APERTURA  DE LOS DOS PRIMEROS, RESPECTO A LA LICITACIÓN PÚBLICA </w:t>
      </w:r>
      <w:r w:rsidDel="00000000" w:rsidR="00000000" w:rsidRPr="00000000">
        <w:rPr>
          <w:rFonts w:ascii="Arial" w:cs="Arial" w:eastAsia="Arial" w:hAnsi="Arial"/>
          <w:b w:val="1"/>
          <w:sz w:val="22"/>
          <w:szCs w:val="22"/>
          <w:rtl w:val="0"/>
        </w:rPr>
        <w:t xml:space="preserve">LTE 06/2018</w:t>
      </w:r>
      <w:r w:rsidDel="00000000" w:rsidR="00000000" w:rsidRPr="00000000">
        <w:rPr>
          <w:rFonts w:ascii="Arial" w:cs="Arial" w:eastAsia="Arial" w:hAnsi="Arial"/>
          <w:sz w:val="22"/>
          <w:szCs w:val="22"/>
          <w:rtl w:val="0"/>
        </w:rPr>
        <w:t xml:space="preserve">, RELATIVA A LA </w:t>
      </w:r>
      <w:r w:rsidDel="00000000" w:rsidR="00000000" w:rsidRPr="00000000">
        <w:rPr>
          <w:rFonts w:ascii="Arial" w:cs="Arial" w:eastAsia="Arial" w:hAnsi="Arial"/>
          <w:b w:val="1"/>
          <w:sz w:val="22"/>
          <w:szCs w:val="22"/>
          <w:rtl w:val="0"/>
        </w:rPr>
        <w:t xml:space="preserve">“ADQUISICIÓN DE LUMINARIAS Y EQUIPAMIENTO TÉCNICO”</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3">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San Pedro Tlaquepaque, Jalisco, siendo las 11:00 once horas con cero minutos del día 07 siete del mes de marzo del 2018, se reunieron los integrantes del Comité de Adquisiciones  del Gobierno del Municipio de San Pedro Tlaquepaque, Jalisco, para llevar a cabo la recepción de sobres con documentación legal, y propuestas técnica y económica, de la Licitación LTE 06/2018, así como la apertura de los dos mencionados en primera instancia.</w:t>
      </w:r>
    </w:p>
    <w:p w:rsidR="00000000" w:rsidDel="00000000" w:rsidP="00000000" w:rsidRDefault="00000000" w:rsidRPr="00000000" w14:paraId="00000006">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uso de la palabra el Lic. José Luis Salazar Martínez, en representación de la Presidente del Comité de Adquisiciones, C. María Elena Limón García, da la bienvenida a los asistentes a nombre del Gobierno Municipal de San Pedro Tlaquepaque y cede el uso de la voz a la Secretaria Técnica del Comité de Adquisiciones, Lic. Cynthia Liliana Hernández Ibarra, la cual procede a nombrar asistencia, y una vez hecho lo anterior se declara que existe quórum legal  por lo que se da inicio a la presente sesión.</w:t>
      </w:r>
    </w:p>
    <w:p w:rsidR="00000000" w:rsidDel="00000000" w:rsidP="00000000" w:rsidRDefault="00000000" w:rsidRPr="00000000" w14:paraId="00000009">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Secretaria Técnica del Comité de Adquisiciones, Lic. Cynthia Liliana Hernández Ibarra, da lectura a la propuesta de orden del día, mismo que somete a consideración:</w:t>
      </w:r>
    </w:p>
    <w:p w:rsidR="00000000" w:rsidDel="00000000" w:rsidP="00000000" w:rsidRDefault="00000000" w:rsidRPr="00000000" w14:paraId="0000000B">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contextualSpacing w:val="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ORDEN DEL DIA</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E">
      <w:pP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numPr>
          <w:ilvl w:val="0"/>
          <w:numId w:val="1"/>
        </w:numPr>
        <w:spacing w:after="0" w:before="0" w:line="276" w:lineRule="auto"/>
        <w:ind w:left="1080" w:hanging="720"/>
        <w:contextualSpacing w:val="1"/>
        <w:rPr>
          <w:sz w:val="22"/>
          <w:szCs w:val="22"/>
        </w:rPr>
      </w:pPr>
      <w:r w:rsidDel="00000000" w:rsidR="00000000" w:rsidRPr="00000000">
        <w:rPr>
          <w:rFonts w:ascii="Arial" w:cs="Arial" w:eastAsia="Arial" w:hAnsi="Arial"/>
          <w:sz w:val="22"/>
          <w:szCs w:val="22"/>
          <w:rtl w:val="0"/>
        </w:rPr>
        <w:t xml:space="preserve">Lista de Asistencia. </w:t>
      </w:r>
    </w:p>
    <w:p w:rsidR="00000000" w:rsidDel="00000000" w:rsidP="00000000" w:rsidRDefault="00000000" w:rsidRPr="00000000" w14:paraId="00000011">
      <w:pPr>
        <w:numPr>
          <w:ilvl w:val="0"/>
          <w:numId w:val="1"/>
        </w:numPr>
        <w:spacing w:after="0" w:before="0" w:line="276" w:lineRule="auto"/>
        <w:ind w:left="1080" w:hanging="720"/>
        <w:contextualSpacing w:val="1"/>
        <w:rPr>
          <w:sz w:val="22"/>
          <w:szCs w:val="22"/>
        </w:rPr>
      </w:pPr>
      <w:r w:rsidDel="00000000" w:rsidR="00000000" w:rsidRPr="00000000">
        <w:rPr>
          <w:rFonts w:ascii="Arial" w:cs="Arial" w:eastAsia="Arial" w:hAnsi="Arial"/>
          <w:sz w:val="22"/>
          <w:szCs w:val="22"/>
          <w:rtl w:val="0"/>
        </w:rPr>
        <w:t xml:space="preserve">Declaración de Quórum legal.</w:t>
      </w:r>
    </w:p>
    <w:p w:rsidR="00000000" w:rsidDel="00000000" w:rsidP="00000000" w:rsidRDefault="00000000" w:rsidRPr="00000000" w14:paraId="00000012">
      <w:pPr>
        <w:numPr>
          <w:ilvl w:val="0"/>
          <w:numId w:val="1"/>
        </w:numPr>
        <w:spacing w:after="0" w:before="0" w:line="276" w:lineRule="auto"/>
        <w:ind w:left="1080" w:hanging="720"/>
        <w:contextualSpacing w:val="1"/>
        <w:rPr>
          <w:sz w:val="22"/>
          <w:szCs w:val="22"/>
        </w:rPr>
      </w:pPr>
      <w:r w:rsidDel="00000000" w:rsidR="00000000" w:rsidRPr="00000000">
        <w:rPr>
          <w:rFonts w:ascii="Arial" w:cs="Arial" w:eastAsia="Arial" w:hAnsi="Arial"/>
          <w:sz w:val="22"/>
          <w:szCs w:val="22"/>
          <w:rtl w:val="0"/>
        </w:rPr>
        <w:t xml:space="preserve">Lectura y en su caso, aprobación del orden del día.</w:t>
      </w:r>
    </w:p>
    <w:p w:rsidR="00000000" w:rsidDel="00000000" w:rsidP="00000000" w:rsidRDefault="00000000" w:rsidRPr="00000000" w14:paraId="00000013">
      <w:pPr>
        <w:numPr>
          <w:ilvl w:val="0"/>
          <w:numId w:val="1"/>
        </w:numPr>
        <w:spacing w:after="0" w:before="0" w:line="276" w:lineRule="auto"/>
        <w:ind w:left="1080" w:hanging="720"/>
        <w:contextualSpacing w:val="1"/>
        <w:rPr>
          <w:sz w:val="22"/>
          <w:szCs w:val="22"/>
        </w:rPr>
      </w:pPr>
      <w:r w:rsidDel="00000000" w:rsidR="00000000" w:rsidRPr="00000000">
        <w:rPr>
          <w:rFonts w:ascii="Arial" w:cs="Arial" w:eastAsia="Arial" w:hAnsi="Arial"/>
          <w:sz w:val="22"/>
          <w:szCs w:val="22"/>
          <w:rtl w:val="0"/>
        </w:rPr>
        <w:t xml:space="preserve">Recepción de sobres.</w:t>
      </w:r>
    </w:p>
    <w:p w:rsidR="00000000" w:rsidDel="00000000" w:rsidP="00000000" w:rsidRDefault="00000000" w:rsidRPr="00000000" w14:paraId="00000014">
      <w:pPr>
        <w:numPr>
          <w:ilvl w:val="0"/>
          <w:numId w:val="1"/>
        </w:numPr>
        <w:spacing w:after="0" w:before="0" w:line="276" w:lineRule="auto"/>
        <w:ind w:left="1080" w:hanging="720"/>
        <w:contextualSpacing w:val="1"/>
        <w:rPr>
          <w:sz w:val="22"/>
          <w:szCs w:val="22"/>
        </w:rPr>
      </w:pPr>
      <w:r w:rsidDel="00000000" w:rsidR="00000000" w:rsidRPr="00000000">
        <w:rPr>
          <w:rFonts w:ascii="Arial" w:cs="Arial" w:eastAsia="Arial" w:hAnsi="Arial"/>
          <w:sz w:val="22"/>
          <w:szCs w:val="22"/>
          <w:rtl w:val="0"/>
        </w:rPr>
        <w:t xml:space="preserve">Apertura de Sobre con documentos Legales y Técnicos.</w:t>
      </w:r>
    </w:p>
    <w:p w:rsidR="00000000" w:rsidDel="00000000" w:rsidP="00000000" w:rsidRDefault="00000000" w:rsidRPr="00000000" w14:paraId="00000015">
      <w:pPr>
        <w:numPr>
          <w:ilvl w:val="0"/>
          <w:numId w:val="1"/>
        </w:numPr>
        <w:spacing w:after="0" w:before="0" w:line="276" w:lineRule="auto"/>
        <w:ind w:left="1080" w:hanging="720"/>
        <w:contextualSpacing w:val="1"/>
        <w:rPr>
          <w:sz w:val="22"/>
          <w:szCs w:val="22"/>
        </w:rPr>
      </w:pPr>
      <w:r w:rsidDel="00000000" w:rsidR="00000000" w:rsidRPr="00000000">
        <w:rPr>
          <w:rFonts w:ascii="Arial" w:cs="Arial" w:eastAsia="Arial" w:hAnsi="Arial"/>
          <w:sz w:val="22"/>
          <w:szCs w:val="22"/>
          <w:rtl w:val="0"/>
        </w:rPr>
        <w:t xml:space="preserve">Asuntos Varios.</w:t>
      </w:r>
    </w:p>
    <w:p w:rsidR="00000000" w:rsidDel="00000000" w:rsidP="00000000" w:rsidRDefault="00000000" w:rsidRPr="00000000" w14:paraId="00000016">
      <w:pPr>
        <w:numPr>
          <w:ilvl w:val="0"/>
          <w:numId w:val="1"/>
        </w:numPr>
        <w:spacing w:after="0" w:before="0" w:line="276" w:lineRule="auto"/>
        <w:ind w:left="1080" w:hanging="720"/>
        <w:contextualSpacing w:val="1"/>
        <w:rPr>
          <w:sz w:val="22"/>
          <w:szCs w:val="22"/>
        </w:rPr>
      </w:pPr>
      <w:r w:rsidDel="00000000" w:rsidR="00000000" w:rsidRPr="00000000">
        <w:rPr>
          <w:rFonts w:ascii="Arial" w:cs="Arial" w:eastAsia="Arial" w:hAnsi="Arial"/>
          <w:sz w:val="22"/>
          <w:szCs w:val="22"/>
          <w:rtl w:val="0"/>
        </w:rPr>
        <w:t xml:space="preserve">Clausura de la sesión.</w:t>
      </w:r>
    </w:p>
    <w:p w:rsidR="00000000" w:rsidDel="00000000" w:rsidP="00000000" w:rsidRDefault="00000000" w:rsidRPr="00000000" w14:paraId="00000017">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PIde a los presentes que quienes estén a favor levanten la mano; levantan la mano y fue aprobado por Unanimidad.</w:t>
      </w:r>
    </w:p>
    <w:p w:rsidR="00000000" w:rsidDel="00000000" w:rsidP="00000000" w:rsidRDefault="00000000" w:rsidRPr="00000000" w14:paraId="00000019">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E">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F">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Una vez aprobado por Unanimidad la Orden del Día y en el uso de la palabra, la Secretaria Técnica del Comité de Adquisiciones, Lic. Cynthia Liliana Hernández Ibarra, señala que se registraron en éste proceso las siguientes empresas: Desarrollo de Proyecto y Automatización, S.A. de C.V., Forlighting de México, S.A. de C.V., Prime Top, S.A. de C.V., Kadesign, S. de R. L. de C.V., Comercializadora Bioiluminación, S.A. de C.V., Ge Diez, S.A. de C.V., Electricidad y Tecnología, S.A. de C.V. Espectrum Iluminación, S.A.P.I. de C.V., Industrias Sola Basic, S.A., Electro Iluminación y proyectos de Occidente, S.A. de C.V., Constructora Cicomex, S.A. de C.V. y Tecno San, S.A. de C.V. de los cuales solo acudieron a la cita los representantes de las empresas Electro Iluminación, S.A. de C.V. y Espectrum Iluminación, S.A.P.I. de C.V. por lo que una vez acreditada su representación se procede a realizar la recepción de los sobres de los participantes anteriormente descritos.</w:t>
      </w:r>
    </w:p>
    <w:p w:rsidR="00000000" w:rsidDel="00000000" w:rsidP="00000000" w:rsidRDefault="00000000" w:rsidRPr="00000000" w14:paraId="00000020">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PUNTO No. 4 Y 5</w:t>
      </w:r>
    </w:p>
    <w:p w:rsidR="00000000" w:rsidDel="00000000" w:rsidP="00000000" w:rsidRDefault="00000000" w:rsidRPr="00000000" w14:paraId="00000023">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4">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5">
      <w:pP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RECEPCIÓN Y  APERTURA DE SOBRES CON DOCUMENTOS LEGALES Y PROPUESTA TÉCNICA</w:t>
      </w:r>
    </w:p>
    <w:p w:rsidR="00000000" w:rsidDel="00000000" w:rsidP="00000000" w:rsidRDefault="00000000" w:rsidRPr="00000000" w14:paraId="00000026">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7">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8">
      <w:pPr>
        <w:pStyle w:val="Heading1"/>
        <w:contextualSpacing w:val="0"/>
        <w:rPr>
          <w:b w:val="0"/>
        </w:rPr>
      </w:pPr>
      <w:r w:rsidDel="00000000" w:rsidR="00000000" w:rsidRPr="00000000">
        <w:rPr>
          <w:b w:val="0"/>
          <w:rtl w:val="0"/>
        </w:rPr>
        <w:t xml:space="preserve">En éste punto, El Lic. José Luis Salazar Martínez representante de la Presidente del Comité de Adquisiciones, la C. María Elena Limón García, solicita el apoyo de la Secretaria Técnica del  Comité de Adquisiciones, Lic. Cynthia Liliana Hernández Ibarra, la cual, hace notar la situación peculiar de que solamente se encuentren presentes en la sesión los participantes antes señalados, a pesar de que se inscribieron al proceso más empresas de las ahí presentes; no obstante se procede a la apertura de los sobres con documentación legal de cada participante y solicita a los mismos que firmen entre ellos todas y cada una de las páginas (excepto originales) que integran sus propuestas, para que verifiquen que ningún documento será alterado, cambiado o adherido a las mismas, posteriormente se realiza el mismo procedimiento con las propuestas técnicas, siendo firmadas por cada participante; De igual forma se solicitan las firmas en los mismos de los integrantes del Comité de Adquisiciones. En ese momento ingresan al lugar de la sesión, los participantes de las empresas Forlighting, S.A. de C.V., Kadesing, S. de R.L. de C.V. y de Comercializadora Bioiluminación, S.A. de C.V. argumentando que en las bases la convocatoria marcaba el horario de las 11:30 once horas con treinta minutos para la presente sesión, por lo que cuestionan el haberse dado inicio a las 11:00 once horas con cero minutos, y de igual manera solicitan la cancelación de dicha licitación por lo antes mencionado, a lo que se procede a verificar dicha información,  así las cosas, los miembros del Comité de Adquisiciones argumentan que lo acontecido no ha sido de manera intencional, sino por error involuntario y que de igual manera las Cámaras son miembros del Comité y éstas son externas al Municipio, así que observaron que todo se realizara de forma correcta.</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Los miembros del Comité deliberan la posibilidad de dar por cancelada esta Licitación, previa consulta en la Ley de Compras Gubernamentales Artículo 71º apartado 3, por lo que la Lic. Cynthia Liliana Hernández </w:t>
      </w:r>
    </w:p>
    <w:p w:rsidR="00000000" w:rsidDel="00000000" w:rsidP="00000000" w:rsidRDefault="00000000" w:rsidRPr="00000000" w14:paraId="0000002B">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Ibarra, con la  votación por Unanimidad del Comité de Adquisiciones del Municipio, da por cancelada la presente Licitación.</w:t>
      </w:r>
    </w:p>
    <w:p w:rsidR="00000000" w:rsidDel="00000000" w:rsidP="00000000" w:rsidRDefault="00000000" w:rsidRPr="00000000" w14:paraId="0000002D">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En virtud de tal acontecimiento se da por cancelada la presente sesión siendo las 11:37 once horas con treinta y siete minutos, firmando la presente acta los que en ella intervinieron.</w:t>
      </w:r>
    </w:p>
    <w:p w:rsidR="00000000" w:rsidDel="00000000" w:rsidP="00000000" w:rsidRDefault="00000000" w:rsidRPr="00000000" w14:paraId="0000002F">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contextualSpacing w:val="0"/>
        <w:jc w:val="center"/>
        <w:rPr>
          <w:rFonts w:ascii="Tahoma" w:cs="Tahoma" w:eastAsia="Tahoma" w:hAnsi="Tahoma"/>
          <w:b w:val="1"/>
          <w:sz w:val="22"/>
          <w:szCs w:val="22"/>
        </w:rPr>
      </w:pPr>
      <w:bookmarkStart w:colFirst="0" w:colLast="0" w:name="_gjdgxs" w:id="0"/>
      <w:bookmarkEnd w:id="0"/>
      <w:r w:rsidDel="00000000" w:rsidR="00000000" w:rsidRPr="00000000">
        <w:rPr>
          <w:rFonts w:ascii="Arial" w:cs="Arial" w:eastAsia="Arial" w:hAnsi="Arial"/>
          <w:b w:val="1"/>
          <w:sz w:val="22"/>
          <w:szCs w:val="22"/>
          <w:rtl w:val="0"/>
        </w:rPr>
        <w:t xml:space="preserve">San Pedro Tlaquepaque Jalisco., a 07 de Marzo de 2018</w:t>
      </w:r>
      <w:r w:rsidDel="00000000" w:rsidR="00000000" w:rsidRPr="00000000">
        <w:rPr>
          <w:rtl w:val="0"/>
        </w:rPr>
      </w:r>
    </w:p>
    <w:tbl>
      <w:tblPr>
        <w:tblStyle w:val="Table1"/>
        <w:tblW w:w="8978.0" w:type="dxa"/>
        <w:jc w:val="left"/>
        <w:tblInd w:w="0.0" w:type="dxa"/>
        <w:tblLayout w:type="fixed"/>
        <w:tblLook w:val="0000"/>
      </w:tblPr>
      <w:tblGrid>
        <w:gridCol w:w="4489"/>
        <w:gridCol w:w="4489"/>
        <w:tblGridChange w:id="0">
          <w:tblGrid>
            <w:gridCol w:w="4489"/>
            <w:gridCol w:w="4489"/>
          </w:tblGrid>
        </w:tblGridChange>
      </w:tblGrid>
      <w:tr>
        <w:trPr>
          <w:trHeight w:val="1820" w:hRule="atLeast"/>
        </w:trPr>
        <w:tc>
          <w:tcPr>
            <w:vAlign w:val="bottom"/>
          </w:tcPr>
          <w:p w:rsidR="00000000" w:rsidDel="00000000" w:rsidP="00000000" w:rsidRDefault="00000000" w:rsidRPr="00000000" w14:paraId="00000033">
            <w:pPr>
              <w:contextualSpacing w:val="0"/>
              <w:jc w:val="center"/>
              <w:rPr>
                <w:rFonts w:ascii="Arial" w:cs="Arial" w:eastAsia="Arial" w:hAnsi="Arial"/>
                <w:b w:val="1"/>
              </w:rPr>
            </w:pPr>
            <w:r w:rsidDel="00000000" w:rsidR="00000000" w:rsidRPr="00000000">
              <w:rPr>
                <w:rFonts w:ascii="Arial" w:cs="Arial" w:eastAsia="Arial" w:hAnsi="Arial"/>
                <w:b w:val="1"/>
                <w:sz w:val="22"/>
                <w:szCs w:val="22"/>
                <w:rtl w:val="0"/>
              </w:rPr>
              <w:t xml:space="preserve">Lic. José Luis Salazar Martínez </w:t>
            </w:r>
            <w:r w:rsidDel="00000000" w:rsidR="00000000" w:rsidRPr="00000000">
              <w:rPr>
                <w:rtl w:val="0"/>
              </w:rPr>
            </w:r>
          </w:p>
          <w:p w:rsidR="00000000" w:rsidDel="00000000" w:rsidP="00000000" w:rsidRDefault="00000000" w:rsidRPr="00000000" w14:paraId="00000034">
            <w:pPr>
              <w:contextualSpacing w:val="0"/>
              <w:jc w:val="center"/>
              <w:rPr>
                <w:rFonts w:ascii="Arial" w:cs="Arial" w:eastAsia="Arial" w:hAnsi="Arial"/>
                <w:b w:val="1"/>
              </w:rPr>
            </w:pPr>
            <w:r w:rsidDel="00000000" w:rsidR="00000000" w:rsidRPr="00000000">
              <w:rPr>
                <w:rFonts w:ascii="Arial" w:cs="Arial" w:eastAsia="Arial" w:hAnsi="Arial"/>
                <w:b w:val="1"/>
                <w:sz w:val="22"/>
                <w:szCs w:val="22"/>
                <w:rtl w:val="0"/>
              </w:rPr>
              <w:t xml:space="preserve">En representación de la C. María Elena Limón García, Presidente del Comité de Adquisiciones</w:t>
            </w:r>
            <w:r w:rsidDel="00000000" w:rsidR="00000000" w:rsidRPr="00000000">
              <w:rPr>
                <w:rtl w:val="0"/>
              </w:rPr>
            </w:r>
          </w:p>
        </w:tc>
        <w:tc>
          <w:tcPr>
            <w:vAlign w:val="bottom"/>
          </w:tcPr>
          <w:p w:rsidR="00000000" w:rsidDel="00000000" w:rsidP="00000000" w:rsidRDefault="00000000" w:rsidRPr="00000000" w14:paraId="00000035">
            <w:pPr>
              <w:contextualSpacing w:val="0"/>
              <w:jc w:val="center"/>
              <w:rPr>
                <w:rFonts w:ascii="Arial" w:cs="Arial" w:eastAsia="Arial" w:hAnsi="Arial"/>
                <w:b w:val="1"/>
              </w:rPr>
            </w:pPr>
            <w:r w:rsidDel="00000000" w:rsidR="00000000" w:rsidRPr="00000000">
              <w:rPr>
                <w:rFonts w:ascii="Arial" w:cs="Arial" w:eastAsia="Arial" w:hAnsi="Arial"/>
                <w:b w:val="1"/>
                <w:sz w:val="22"/>
                <w:szCs w:val="22"/>
                <w:rtl w:val="0"/>
              </w:rPr>
              <w:t xml:space="preserve">___________________________________</w:t>
            </w:r>
            <w:r w:rsidDel="00000000" w:rsidR="00000000" w:rsidRPr="00000000">
              <w:rPr>
                <w:rtl w:val="0"/>
              </w:rPr>
            </w:r>
          </w:p>
        </w:tc>
      </w:tr>
      <w:tr>
        <w:trPr>
          <w:trHeight w:val="1820" w:hRule="atLeast"/>
        </w:trPr>
        <w:tc>
          <w:tcPr>
            <w:vAlign w:val="bottom"/>
          </w:tcPr>
          <w:p w:rsidR="00000000" w:rsidDel="00000000" w:rsidP="00000000" w:rsidRDefault="00000000" w:rsidRPr="00000000" w14:paraId="00000036">
            <w:pPr>
              <w:contextualSpacing w:val="0"/>
              <w:jc w:val="center"/>
              <w:rPr>
                <w:rFonts w:ascii="Arial" w:cs="Arial" w:eastAsia="Arial" w:hAnsi="Arial"/>
                <w:b w:val="1"/>
              </w:rPr>
            </w:pPr>
            <w:r w:rsidDel="00000000" w:rsidR="00000000" w:rsidRPr="00000000">
              <w:rPr>
                <w:rFonts w:ascii="Arial" w:cs="Arial" w:eastAsia="Arial" w:hAnsi="Arial"/>
                <w:b w:val="1"/>
                <w:sz w:val="22"/>
                <w:szCs w:val="22"/>
                <w:rtl w:val="0"/>
              </w:rPr>
              <w:t xml:space="preserve">Dr. Francisco Roberto Riverón Flores , Representante de la Contraloría Municipal</w:t>
            </w:r>
            <w:r w:rsidDel="00000000" w:rsidR="00000000" w:rsidRPr="00000000">
              <w:rPr>
                <w:rtl w:val="0"/>
              </w:rPr>
            </w:r>
          </w:p>
        </w:tc>
        <w:tc>
          <w:tcPr>
            <w:vAlign w:val="bottom"/>
          </w:tcPr>
          <w:p w:rsidR="00000000" w:rsidDel="00000000" w:rsidP="00000000" w:rsidRDefault="00000000" w:rsidRPr="00000000" w14:paraId="00000037">
            <w:pPr>
              <w:contextualSpacing w:val="0"/>
              <w:jc w:val="center"/>
              <w:rPr>
                <w:rFonts w:ascii="Arial" w:cs="Arial" w:eastAsia="Arial" w:hAnsi="Arial"/>
                <w:b w:val="1"/>
              </w:rPr>
            </w:pPr>
            <w:r w:rsidDel="00000000" w:rsidR="00000000" w:rsidRPr="00000000">
              <w:rPr>
                <w:rFonts w:ascii="Arial" w:cs="Arial" w:eastAsia="Arial" w:hAnsi="Arial"/>
                <w:b w:val="1"/>
                <w:sz w:val="22"/>
                <w:szCs w:val="22"/>
                <w:rtl w:val="0"/>
              </w:rPr>
              <w:t xml:space="preserve">___________________________________</w:t>
            </w:r>
            <w:r w:rsidDel="00000000" w:rsidR="00000000" w:rsidRPr="00000000">
              <w:rPr>
                <w:rtl w:val="0"/>
              </w:rPr>
            </w:r>
          </w:p>
        </w:tc>
      </w:tr>
      <w:tr>
        <w:trPr>
          <w:trHeight w:val="1820" w:hRule="atLeast"/>
        </w:trPr>
        <w:tc>
          <w:tcPr>
            <w:vAlign w:val="bottom"/>
          </w:tcPr>
          <w:p w:rsidR="00000000" w:rsidDel="00000000" w:rsidP="00000000" w:rsidRDefault="00000000" w:rsidRPr="00000000" w14:paraId="00000038">
            <w:pPr>
              <w:contextualSpacing w:val="0"/>
              <w:jc w:val="center"/>
              <w:rPr>
                <w:rFonts w:ascii="Arial" w:cs="Arial" w:eastAsia="Arial" w:hAnsi="Arial"/>
                <w:b w:val="1"/>
              </w:rPr>
            </w:pPr>
            <w:r w:rsidDel="00000000" w:rsidR="00000000" w:rsidRPr="00000000">
              <w:rPr>
                <w:rFonts w:ascii="Arial" w:cs="Arial" w:eastAsia="Arial" w:hAnsi="Arial"/>
                <w:b w:val="1"/>
                <w:sz w:val="22"/>
                <w:szCs w:val="22"/>
                <w:rtl w:val="0"/>
              </w:rPr>
              <w:t xml:space="preserve">L.C.P. José Alejandro Ramos Rosas, Tesorero Municipal</w:t>
            </w:r>
            <w:r w:rsidDel="00000000" w:rsidR="00000000" w:rsidRPr="00000000">
              <w:rPr>
                <w:rtl w:val="0"/>
              </w:rPr>
            </w:r>
          </w:p>
        </w:tc>
        <w:tc>
          <w:tcPr>
            <w:vAlign w:val="bottom"/>
          </w:tcPr>
          <w:p w:rsidR="00000000" w:rsidDel="00000000" w:rsidP="00000000" w:rsidRDefault="00000000" w:rsidRPr="00000000" w14:paraId="00000039">
            <w:pPr>
              <w:contextualSpacing w:val="0"/>
              <w:jc w:val="center"/>
              <w:rPr>
                <w:rFonts w:ascii="Arial" w:cs="Arial" w:eastAsia="Arial" w:hAnsi="Arial"/>
                <w:b w:val="1"/>
              </w:rPr>
            </w:pPr>
            <w:r w:rsidDel="00000000" w:rsidR="00000000" w:rsidRPr="00000000">
              <w:rPr>
                <w:rFonts w:ascii="Arial" w:cs="Arial" w:eastAsia="Arial" w:hAnsi="Arial"/>
                <w:b w:val="1"/>
                <w:sz w:val="22"/>
                <w:szCs w:val="22"/>
                <w:rtl w:val="0"/>
              </w:rPr>
              <w:t xml:space="preserve">___________________________________</w:t>
            </w:r>
            <w:r w:rsidDel="00000000" w:rsidR="00000000" w:rsidRPr="00000000">
              <w:rPr>
                <w:rtl w:val="0"/>
              </w:rPr>
            </w:r>
          </w:p>
        </w:tc>
      </w:tr>
      <w:tr>
        <w:trPr>
          <w:trHeight w:val="1820" w:hRule="atLeast"/>
        </w:trPr>
        <w:tc>
          <w:tcPr>
            <w:vAlign w:val="bottom"/>
          </w:tcPr>
          <w:p w:rsidR="00000000" w:rsidDel="00000000" w:rsidP="00000000" w:rsidRDefault="00000000" w:rsidRPr="00000000" w14:paraId="0000003A">
            <w:pPr>
              <w:contextualSpacing w:val="0"/>
              <w:jc w:val="center"/>
              <w:rPr>
                <w:rFonts w:ascii="Arial" w:cs="Arial" w:eastAsia="Arial" w:hAnsi="Arial"/>
                <w:b w:val="1"/>
              </w:rPr>
            </w:pPr>
            <w:r w:rsidDel="00000000" w:rsidR="00000000" w:rsidRPr="00000000">
              <w:rPr>
                <w:rFonts w:ascii="Arial" w:cs="Arial" w:eastAsia="Arial" w:hAnsi="Arial"/>
                <w:b w:val="1"/>
                <w:sz w:val="22"/>
                <w:szCs w:val="22"/>
                <w:rtl w:val="0"/>
              </w:rPr>
              <w:t xml:space="preserve">Lic. Cynthia Liliana Hernández Ibarra, Secretaria Ejecutiva del Comité de Adquisiciones</w:t>
            </w:r>
            <w:r w:rsidDel="00000000" w:rsidR="00000000" w:rsidRPr="00000000">
              <w:rPr>
                <w:rtl w:val="0"/>
              </w:rPr>
            </w:r>
          </w:p>
        </w:tc>
        <w:tc>
          <w:tcPr>
            <w:vAlign w:val="bottom"/>
          </w:tcPr>
          <w:p w:rsidR="00000000" w:rsidDel="00000000" w:rsidP="00000000" w:rsidRDefault="00000000" w:rsidRPr="00000000" w14:paraId="0000003B">
            <w:pPr>
              <w:contextualSpacing w:val="0"/>
              <w:jc w:val="center"/>
              <w:rPr>
                <w:rFonts w:ascii="Arial" w:cs="Arial" w:eastAsia="Arial" w:hAnsi="Arial"/>
                <w:b w:val="1"/>
              </w:rPr>
            </w:pPr>
            <w:r w:rsidDel="00000000" w:rsidR="00000000" w:rsidRPr="00000000">
              <w:rPr>
                <w:rFonts w:ascii="Arial" w:cs="Arial" w:eastAsia="Arial" w:hAnsi="Arial"/>
                <w:b w:val="1"/>
                <w:sz w:val="22"/>
                <w:szCs w:val="22"/>
                <w:rtl w:val="0"/>
              </w:rPr>
              <w:t xml:space="preserve">___________________________________</w:t>
            </w:r>
            <w:r w:rsidDel="00000000" w:rsidR="00000000" w:rsidRPr="00000000">
              <w:rPr>
                <w:rtl w:val="0"/>
              </w:rPr>
            </w:r>
          </w:p>
        </w:tc>
      </w:tr>
    </w:tbl>
    <w:p w:rsidR="00000000" w:rsidDel="00000000" w:rsidP="00000000" w:rsidRDefault="00000000" w:rsidRPr="00000000" w14:paraId="0000003C">
      <w:pPr>
        <w:contextualSpacing w:val="0"/>
        <w:jc w:val="both"/>
        <w:rPr>
          <w:rFonts w:ascii="Arial" w:cs="Arial" w:eastAsia="Arial" w:hAnsi="Arial"/>
        </w:rPr>
      </w:pPr>
      <w:r w:rsidDel="00000000" w:rsidR="00000000" w:rsidRPr="00000000">
        <w:rPr>
          <w:rtl w:val="0"/>
        </w:rPr>
      </w:r>
    </w:p>
    <w:tbl>
      <w:tblPr>
        <w:tblStyle w:val="Table2"/>
        <w:tblW w:w="8978.0" w:type="dxa"/>
        <w:jc w:val="left"/>
        <w:tblInd w:w="0.0" w:type="dxa"/>
        <w:tblLayout w:type="fixed"/>
        <w:tblLook w:val="0000"/>
      </w:tblPr>
      <w:tblGrid>
        <w:gridCol w:w="4489"/>
        <w:gridCol w:w="4489"/>
        <w:tblGridChange w:id="0">
          <w:tblGrid>
            <w:gridCol w:w="4489"/>
            <w:gridCol w:w="4489"/>
          </w:tblGrid>
        </w:tblGridChange>
      </w:tblGrid>
      <w:tr>
        <w:trPr>
          <w:trHeight w:val="1820" w:hRule="atLeast"/>
        </w:trPr>
        <w:tc>
          <w:tcPr>
            <w:vAlign w:val="bottom"/>
          </w:tcPr>
          <w:p w:rsidR="00000000" w:rsidDel="00000000" w:rsidP="00000000" w:rsidRDefault="00000000" w:rsidRPr="00000000" w14:paraId="0000003D">
            <w:pPr>
              <w:contextualSpacing w:val="0"/>
              <w:jc w:val="left"/>
              <w:rPr>
                <w:rFonts w:ascii="Arial" w:cs="Arial" w:eastAsia="Arial" w:hAnsi="Arial"/>
                <w:b w:val="1"/>
              </w:rPr>
            </w:pPr>
            <w:r w:rsidDel="00000000" w:rsidR="00000000" w:rsidRPr="00000000">
              <w:rPr>
                <w:rFonts w:ascii="Arial" w:cs="Arial" w:eastAsia="Arial" w:hAnsi="Arial"/>
                <w:b w:val="1"/>
                <w:sz w:val="22"/>
                <w:szCs w:val="22"/>
                <w:rtl w:val="0"/>
              </w:rPr>
              <w:t xml:space="preserve">C. Rafael Lara Flores,</w:t>
            </w:r>
            <w:r w:rsidDel="00000000" w:rsidR="00000000" w:rsidRPr="00000000">
              <w:rPr>
                <w:rtl w:val="0"/>
              </w:rPr>
            </w:r>
          </w:p>
          <w:p w:rsidR="00000000" w:rsidDel="00000000" w:rsidP="00000000" w:rsidRDefault="00000000" w:rsidRPr="00000000" w14:paraId="0000003E">
            <w:pPr>
              <w:contextualSpacing w:val="0"/>
              <w:jc w:val="center"/>
              <w:rPr>
                <w:rFonts w:ascii="Arial" w:cs="Arial" w:eastAsia="Arial" w:hAnsi="Arial"/>
                <w:b w:val="1"/>
              </w:rPr>
            </w:pPr>
            <w:r w:rsidDel="00000000" w:rsidR="00000000" w:rsidRPr="00000000">
              <w:rPr>
                <w:rFonts w:ascii="Arial" w:cs="Arial" w:eastAsia="Arial" w:hAnsi="Arial"/>
                <w:b w:val="1"/>
                <w:sz w:val="22"/>
                <w:szCs w:val="22"/>
                <w:rtl w:val="0"/>
              </w:rPr>
              <w:t xml:space="preserve">Representante de la CANACO Tlaquepaque</w:t>
            </w:r>
            <w:r w:rsidDel="00000000" w:rsidR="00000000" w:rsidRPr="00000000">
              <w:rPr>
                <w:rtl w:val="0"/>
              </w:rPr>
            </w:r>
          </w:p>
        </w:tc>
        <w:tc>
          <w:tcPr>
            <w:vAlign w:val="bottom"/>
          </w:tcPr>
          <w:p w:rsidR="00000000" w:rsidDel="00000000" w:rsidP="00000000" w:rsidRDefault="00000000" w:rsidRPr="00000000" w14:paraId="0000003F">
            <w:pPr>
              <w:contextualSpacing w:val="0"/>
              <w:jc w:val="center"/>
              <w:rPr>
                <w:rFonts w:ascii="Arial" w:cs="Arial" w:eastAsia="Arial" w:hAnsi="Arial"/>
                <w:b w:val="1"/>
              </w:rPr>
            </w:pPr>
            <w:r w:rsidDel="00000000" w:rsidR="00000000" w:rsidRPr="00000000">
              <w:rPr>
                <w:rFonts w:ascii="Arial" w:cs="Arial" w:eastAsia="Arial" w:hAnsi="Arial"/>
                <w:b w:val="1"/>
                <w:sz w:val="22"/>
                <w:szCs w:val="22"/>
                <w:rtl w:val="0"/>
              </w:rPr>
              <w:t xml:space="preserve">___________________________________</w:t>
            </w:r>
            <w:r w:rsidDel="00000000" w:rsidR="00000000" w:rsidRPr="00000000">
              <w:rPr>
                <w:rtl w:val="0"/>
              </w:rPr>
            </w:r>
          </w:p>
        </w:tc>
      </w:tr>
      <w:tr>
        <w:trPr>
          <w:trHeight w:val="1820" w:hRule="atLeast"/>
        </w:trPr>
        <w:tc>
          <w:tcPr>
            <w:vAlign w:val="bottom"/>
          </w:tcPr>
          <w:p w:rsidR="00000000" w:rsidDel="00000000" w:rsidP="00000000" w:rsidRDefault="00000000" w:rsidRPr="00000000" w14:paraId="00000040">
            <w:pPr>
              <w:contextualSpacing w:val="0"/>
              <w:jc w:val="center"/>
              <w:rPr>
                <w:rFonts w:ascii="Arial" w:cs="Arial" w:eastAsia="Arial" w:hAnsi="Arial"/>
                <w:b w:val="1"/>
              </w:rPr>
            </w:pPr>
            <w:r w:rsidDel="00000000" w:rsidR="00000000" w:rsidRPr="00000000">
              <w:rPr>
                <w:rFonts w:ascii="Arial" w:cs="Arial" w:eastAsia="Arial" w:hAnsi="Arial"/>
                <w:b w:val="1"/>
                <w:sz w:val="22"/>
                <w:szCs w:val="22"/>
                <w:rtl w:val="0"/>
              </w:rPr>
              <w:t xml:space="preserve">C. Juan Eduardo Carranza Patiño, en representación de la Asociación de Empresarios Periférico Sur  </w:t>
            </w:r>
            <w:r w:rsidDel="00000000" w:rsidR="00000000" w:rsidRPr="00000000">
              <w:rPr>
                <w:rtl w:val="0"/>
              </w:rPr>
            </w:r>
          </w:p>
        </w:tc>
        <w:tc>
          <w:tcPr>
            <w:vAlign w:val="bottom"/>
          </w:tcPr>
          <w:p w:rsidR="00000000" w:rsidDel="00000000" w:rsidP="00000000" w:rsidRDefault="00000000" w:rsidRPr="00000000" w14:paraId="00000041">
            <w:pPr>
              <w:contextualSpacing w:val="0"/>
              <w:jc w:val="center"/>
              <w:rPr>
                <w:rFonts w:ascii="Arial" w:cs="Arial" w:eastAsia="Arial" w:hAnsi="Arial"/>
                <w:b w:val="1"/>
              </w:rPr>
            </w:pPr>
            <w:r w:rsidDel="00000000" w:rsidR="00000000" w:rsidRPr="00000000">
              <w:rPr>
                <w:rFonts w:ascii="Arial" w:cs="Arial" w:eastAsia="Arial" w:hAnsi="Arial"/>
                <w:b w:val="1"/>
                <w:sz w:val="22"/>
                <w:szCs w:val="22"/>
                <w:rtl w:val="0"/>
              </w:rPr>
              <w:t xml:space="preserve">___________________________________</w:t>
            </w:r>
            <w:r w:rsidDel="00000000" w:rsidR="00000000" w:rsidRPr="00000000">
              <w:rPr>
                <w:rtl w:val="0"/>
              </w:rPr>
            </w:r>
          </w:p>
        </w:tc>
      </w:tr>
    </w:tbl>
    <w:p w:rsidR="00000000" w:rsidDel="00000000" w:rsidP="00000000" w:rsidRDefault="00000000" w:rsidRPr="00000000" w14:paraId="00000042">
      <w:pPr>
        <w:contextualSpacing w:val="0"/>
        <w:jc w:val="both"/>
        <w:rPr/>
      </w:pPr>
      <w:r w:rsidDel="00000000" w:rsidR="00000000" w:rsidRPr="00000000">
        <w:rPr>
          <w:rtl w:val="0"/>
        </w:rPr>
      </w:r>
    </w:p>
    <w:p w:rsidR="00000000" w:rsidDel="00000000" w:rsidP="00000000" w:rsidRDefault="00000000" w:rsidRPr="00000000" w14:paraId="00000043">
      <w:pPr>
        <w:contextualSpacing w:val="0"/>
        <w:jc w:val="both"/>
        <w:rPr/>
      </w:pPr>
      <w:r w:rsidDel="00000000" w:rsidR="00000000" w:rsidRPr="00000000">
        <w:rPr>
          <w:rtl w:val="0"/>
        </w:rPr>
      </w:r>
    </w:p>
    <w:p w:rsidR="00000000" w:rsidDel="00000000" w:rsidP="00000000" w:rsidRDefault="00000000" w:rsidRPr="00000000" w14:paraId="00000044">
      <w:pPr>
        <w:contextualSpacing w:val="0"/>
        <w:jc w:val="both"/>
        <w:rPr/>
      </w:pPr>
      <w:r w:rsidDel="00000000" w:rsidR="00000000" w:rsidRPr="00000000">
        <w:rPr>
          <w:rtl w:val="0"/>
        </w:rPr>
      </w:r>
    </w:p>
    <w:tbl>
      <w:tblPr>
        <w:tblStyle w:val="Table3"/>
        <w:tblW w:w="8978.0" w:type="dxa"/>
        <w:jc w:val="left"/>
        <w:tblInd w:w="0.0" w:type="dxa"/>
        <w:tblLayout w:type="fixed"/>
        <w:tblLook w:val="0000"/>
      </w:tblPr>
      <w:tblGrid>
        <w:gridCol w:w="4489"/>
        <w:gridCol w:w="4489"/>
        <w:tblGridChange w:id="0">
          <w:tblGrid>
            <w:gridCol w:w="4489"/>
            <w:gridCol w:w="4489"/>
          </w:tblGrid>
        </w:tblGridChange>
      </w:tblGrid>
      <w:tr>
        <w:trPr>
          <w:trHeight w:val="1820" w:hRule="atLeast"/>
        </w:trPr>
        <w:tc>
          <w:tcPr>
            <w:vAlign w:val="bottom"/>
          </w:tcPr>
          <w:p w:rsidR="00000000" w:rsidDel="00000000" w:rsidP="00000000" w:rsidRDefault="00000000" w:rsidRPr="00000000" w14:paraId="00000045">
            <w:pPr>
              <w:contextualSpacing w:val="0"/>
              <w:jc w:val="center"/>
              <w:rPr>
                <w:rFonts w:ascii="Arial" w:cs="Arial" w:eastAsia="Arial" w:hAnsi="Arial"/>
                <w:b w:val="1"/>
              </w:rPr>
            </w:pPr>
            <w:r w:rsidDel="00000000" w:rsidR="00000000" w:rsidRPr="00000000">
              <w:rPr>
                <w:rFonts w:ascii="Arial" w:cs="Arial" w:eastAsia="Arial" w:hAnsi="Arial"/>
                <w:b w:val="1"/>
                <w:sz w:val="22"/>
                <w:szCs w:val="22"/>
                <w:rtl w:val="0"/>
              </w:rPr>
              <w:t xml:space="preserve">C. Álvaro Franco, en </w:t>
            </w:r>
            <w:r w:rsidDel="00000000" w:rsidR="00000000" w:rsidRPr="00000000">
              <w:rPr>
                <w:rtl w:val="0"/>
              </w:rPr>
            </w:r>
          </w:p>
          <w:p w:rsidR="00000000" w:rsidDel="00000000" w:rsidP="00000000" w:rsidRDefault="00000000" w:rsidRPr="00000000" w14:paraId="00000046">
            <w:pPr>
              <w:contextualSpacing w:val="0"/>
              <w:jc w:val="center"/>
              <w:rPr>
                <w:rFonts w:ascii="Arial" w:cs="Arial" w:eastAsia="Arial" w:hAnsi="Arial"/>
                <w:b w:val="1"/>
              </w:rPr>
            </w:pPr>
            <w:r w:rsidDel="00000000" w:rsidR="00000000" w:rsidRPr="00000000">
              <w:rPr>
                <w:rFonts w:ascii="Arial" w:cs="Arial" w:eastAsia="Arial" w:hAnsi="Arial"/>
                <w:b w:val="1"/>
                <w:sz w:val="22"/>
                <w:szCs w:val="22"/>
                <w:rtl w:val="0"/>
              </w:rPr>
              <w:t xml:space="preserve">Representación del Consejo</w:t>
            </w:r>
            <w:r w:rsidDel="00000000" w:rsidR="00000000" w:rsidRPr="00000000">
              <w:rPr>
                <w:rtl w:val="0"/>
              </w:rPr>
            </w:r>
          </w:p>
          <w:p w:rsidR="00000000" w:rsidDel="00000000" w:rsidP="00000000" w:rsidRDefault="00000000" w:rsidRPr="00000000" w14:paraId="00000047">
            <w:pPr>
              <w:contextualSpacing w:val="0"/>
              <w:jc w:val="center"/>
              <w:rPr>
                <w:rFonts w:ascii="Arial" w:cs="Arial" w:eastAsia="Arial" w:hAnsi="Arial"/>
                <w:b w:val="1"/>
              </w:rPr>
            </w:pPr>
            <w:r w:rsidDel="00000000" w:rsidR="00000000" w:rsidRPr="00000000">
              <w:rPr>
                <w:rFonts w:ascii="Arial" w:cs="Arial" w:eastAsia="Arial" w:hAnsi="Arial"/>
                <w:b w:val="1"/>
                <w:sz w:val="22"/>
                <w:szCs w:val="22"/>
                <w:rtl w:val="0"/>
              </w:rPr>
              <w:t xml:space="preserve">Coordinador de Jóvenes </w:t>
            </w:r>
            <w:r w:rsidDel="00000000" w:rsidR="00000000" w:rsidRPr="00000000">
              <w:rPr>
                <w:rtl w:val="0"/>
              </w:rPr>
            </w:r>
          </w:p>
          <w:p w:rsidR="00000000" w:rsidDel="00000000" w:rsidP="00000000" w:rsidRDefault="00000000" w:rsidRPr="00000000" w14:paraId="00000048">
            <w:pPr>
              <w:contextualSpacing w:val="0"/>
              <w:jc w:val="center"/>
              <w:rPr>
                <w:rFonts w:ascii="Arial" w:cs="Arial" w:eastAsia="Arial" w:hAnsi="Arial"/>
                <w:b w:val="1"/>
              </w:rPr>
            </w:pPr>
            <w:r w:rsidDel="00000000" w:rsidR="00000000" w:rsidRPr="00000000">
              <w:rPr>
                <w:rFonts w:ascii="Arial" w:cs="Arial" w:eastAsia="Arial" w:hAnsi="Arial"/>
                <w:b w:val="1"/>
                <w:sz w:val="22"/>
                <w:szCs w:val="22"/>
                <w:rtl w:val="0"/>
              </w:rPr>
              <w:t xml:space="preserve">Empresarios del Estado de Jalisco</w:t>
            </w:r>
            <w:r w:rsidDel="00000000" w:rsidR="00000000" w:rsidRPr="00000000">
              <w:rPr>
                <w:rtl w:val="0"/>
              </w:rPr>
            </w:r>
          </w:p>
          <w:p w:rsidR="00000000" w:rsidDel="00000000" w:rsidP="00000000" w:rsidRDefault="00000000" w:rsidRPr="00000000" w14:paraId="00000049">
            <w:pPr>
              <w:contextualSpacing w:val="0"/>
              <w:rPr>
                <w:rFonts w:ascii="Arial" w:cs="Arial" w:eastAsia="Arial" w:hAnsi="Arial"/>
                <w:b w:val="1"/>
              </w:rPr>
            </w:pPr>
            <w:r w:rsidDel="00000000" w:rsidR="00000000" w:rsidRPr="00000000">
              <w:rPr>
                <w:rtl w:val="0"/>
              </w:rPr>
            </w:r>
          </w:p>
        </w:tc>
        <w:tc>
          <w:tcPr>
            <w:vAlign w:val="bottom"/>
          </w:tcPr>
          <w:p w:rsidR="00000000" w:rsidDel="00000000" w:rsidP="00000000" w:rsidRDefault="00000000" w:rsidRPr="00000000" w14:paraId="0000004A">
            <w:pPr>
              <w:contextualSpacing w:val="0"/>
              <w:jc w:val="center"/>
              <w:rPr>
                <w:rFonts w:ascii="Arial" w:cs="Arial" w:eastAsia="Arial" w:hAnsi="Arial"/>
                <w:b w:val="1"/>
              </w:rPr>
            </w:pPr>
            <w:r w:rsidDel="00000000" w:rsidR="00000000" w:rsidRPr="00000000">
              <w:rPr>
                <w:rFonts w:ascii="Arial" w:cs="Arial" w:eastAsia="Arial" w:hAnsi="Arial"/>
                <w:b w:val="1"/>
                <w:sz w:val="22"/>
                <w:szCs w:val="22"/>
                <w:rtl w:val="0"/>
              </w:rPr>
              <w:t xml:space="preserve">___________________________________</w:t>
            </w:r>
            <w:r w:rsidDel="00000000" w:rsidR="00000000" w:rsidRPr="00000000">
              <w:rPr>
                <w:rtl w:val="0"/>
              </w:rPr>
            </w:r>
          </w:p>
        </w:tc>
      </w:tr>
    </w:tbl>
    <w:p w:rsidR="00000000" w:rsidDel="00000000" w:rsidP="00000000" w:rsidRDefault="00000000" w:rsidRPr="00000000" w14:paraId="0000004B">
      <w:pPr>
        <w:contextualSpacing w:val="0"/>
        <w:jc w:val="both"/>
        <w:rPr/>
      </w:pPr>
      <w:r w:rsidDel="00000000" w:rsidR="00000000" w:rsidRPr="00000000">
        <w:rPr>
          <w:rtl w:val="0"/>
        </w:rPr>
      </w:r>
    </w:p>
    <w:tbl>
      <w:tblPr>
        <w:tblStyle w:val="Table4"/>
        <w:tblW w:w="8978.0" w:type="dxa"/>
        <w:jc w:val="left"/>
        <w:tblInd w:w="0.0" w:type="dxa"/>
        <w:tblLayout w:type="fixed"/>
        <w:tblLook w:val="0000"/>
      </w:tblPr>
      <w:tblGrid>
        <w:gridCol w:w="4489"/>
        <w:gridCol w:w="4489"/>
        <w:tblGridChange w:id="0">
          <w:tblGrid>
            <w:gridCol w:w="4489"/>
            <w:gridCol w:w="4489"/>
          </w:tblGrid>
        </w:tblGridChange>
      </w:tblGrid>
      <w:tr>
        <w:trPr>
          <w:trHeight w:val="1820" w:hRule="atLeast"/>
        </w:trPr>
        <w:tc>
          <w:tcPr>
            <w:vAlign w:val="bottom"/>
          </w:tcPr>
          <w:p w:rsidR="00000000" w:rsidDel="00000000" w:rsidP="00000000" w:rsidRDefault="00000000" w:rsidRPr="00000000" w14:paraId="0000004C">
            <w:pPr>
              <w:contextualSpacing w:val="0"/>
              <w:jc w:val="center"/>
              <w:rPr>
                <w:rFonts w:ascii="Arial" w:cs="Arial" w:eastAsia="Arial" w:hAnsi="Arial"/>
                <w:b w:val="1"/>
              </w:rPr>
            </w:pPr>
            <w:r w:rsidDel="00000000" w:rsidR="00000000" w:rsidRPr="00000000">
              <w:rPr>
                <w:rtl w:val="0"/>
              </w:rPr>
            </w:r>
          </w:p>
        </w:tc>
        <w:tc>
          <w:tcPr>
            <w:vAlign w:val="bottom"/>
          </w:tcPr>
          <w:p w:rsidR="00000000" w:rsidDel="00000000" w:rsidP="00000000" w:rsidRDefault="00000000" w:rsidRPr="00000000" w14:paraId="0000004D">
            <w:pPr>
              <w:contextualSpacing w:val="0"/>
              <w:jc w:val="center"/>
              <w:rPr>
                <w:rFonts w:ascii="Arial" w:cs="Arial" w:eastAsia="Arial" w:hAnsi="Arial"/>
                <w:b w:val="1"/>
              </w:rPr>
            </w:pPr>
            <w:r w:rsidDel="00000000" w:rsidR="00000000" w:rsidRPr="00000000">
              <w:rPr>
                <w:rtl w:val="0"/>
              </w:rPr>
            </w:r>
          </w:p>
        </w:tc>
      </w:tr>
    </w:tbl>
    <w:p w:rsidR="00000000" w:rsidDel="00000000" w:rsidP="00000000" w:rsidRDefault="00000000" w:rsidRPr="00000000" w14:paraId="0000004E">
      <w:pPr>
        <w:contextualSpacing w:val="0"/>
        <w:jc w:val="both"/>
        <w:rPr/>
      </w:pPr>
      <w:r w:rsidDel="00000000" w:rsidR="00000000" w:rsidRPr="00000000">
        <w:rPr>
          <w:rtl w:val="0"/>
        </w:rPr>
      </w:r>
    </w:p>
    <w:p w:rsidR="00000000" w:rsidDel="00000000" w:rsidP="00000000" w:rsidRDefault="00000000" w:rsidRPr="00000000" w14:paraId="0000004F">
      <w:pPr>
        <w:contextualSpacing w:val="0"/>
        <w:jc w:val="both"/>
        <w:rPr/>
      </w:pPr>
      <w:r w:rsidDel="00000000" w:rsidR="00000000" w:rsidRPr="00000000">
        <w:rPr>
          <w:rtl w:val="0"/>
        </w:rPr>
      </w:r>
    </w:p>
    <w:p w:rsidR="00000000" w:rsidDel="00000000" w:rsidP="00000000" w:rsidRDefault="00000000" w:rsidRPr="00000000" w14:paraId="00000050">
      <w:pPr>
        <w:contextualSpacing w:val="0"/>
        <w:jc w:val="both"/>
        <w:rPr/>
      </w:pPr>
      <w:r w:rsidDel="00000000" w:rsidR="00000000" w:rsidRPr="00000000">
        <w:rPr>
          <w:rtl w:val="0"/>
        </w:rPr>
      </w:r>
    </w:p>
    <w:p w:rsidR="00000000" w:rsidDel="00000000" w:rsidP="00000000" w:rsidRDefault="00000000" w:rsidRPr="00000000" w14:paraId="00000051">
      <w:pPr>
        <w:contextualSpacing w:val="0"/>
        <w:jc w:val="both"/>
        <w:rPr/>
      </w:pPr>
      <w:r w:rsidDel="00000000" w:rsidR="00000000" w:rsidRPr="00000000">
        <w:rPr>
          <w:rtl w:val="0"/>
        </w:rPr>
      </w:r>
    </w:p>
    <w:p w:rsidR="00000000" w:rsidDel="00000000" w:rsidP="00000000" w:rsidRDefault="00000000" w:rsidRPr="00000000" w14:paraId="00000052">
      <w:pPr>
        <w:spacing w:before="100" w:lineRule="auto"/>
        <w:contextualSpacing w:val="0"/>
        <w:jc w:val="center"/>
        <w:rPr>
          <w:b w:val="1"/>
        </w:rPr>
      </w:pPr>
      <w:r w:rsidDel="00000000" w:rsidR="00000000" w:rsidRPr="00000000">
        <w:rPr>
          <w:rtl w:val="0"/>
        </w:rPr>
      </w:r>
    </w:p>
    <w:sectPr>
      <w:headerReference r:id="rId6" w:type="default"/>
      <w:footerReference r:id="rId7" w:type="default"/>
      <w:pgSz w:h="15840" w:w="12240"/>
      <w:pgMar w:bottom="567" w:top="1953" w:left="851" w:right="851" w:header="142" w:footer="1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4</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Tahoma" w:cs="Tahoma" w:eastAsia="Tahoma" w:hAnsi="Tahoma"/>
        <w:b w:val="0"/>
        <w:i w:val="0"/>
        <w:smallCaps w:val="0"/>
        <w:strike w:val="0"/>
        <w:color w:val="000000"/>
        <w:sz w:val="14"/>
        <w:szCs w:val="14"/>
        <w:u w:val="none"/>
        <w:shd w:fill="auto" w:val="clear"/>
        <w:vertAlign w:val="baseline"/>
      </w:rPr>
    </w:pPr>
    <w:r w:rsidDel="00000000" w:rsidR="00000000" w:rsidRPr="00000000">
      <w:rPr>
        <w:rFonts w:ascii="Tahoma" w:cs="Tahoma" w:eastAsia="Tahoma" w:hAnsi="Tahoma"/>
        <w:b w:val="0"/>
        <w:i w:val="0"/>
        <w:smallCaps w:val="0"/>
        <w:strike w:val="0"/>
        <w:color w:val="000000"/>
        <w:sz w:val="14"/>
        <w:szCs w:val="14"/>
        <w:u w:val="none"/>
        <w:shd w:fill="auto" w:val="clear"/>
        <w:vertAlign w:val="baseline"/>
        <w:rtl w:val="0"/>
      </w:rPr>
      <w:t xml:space="preserve">ACTA DE ENTREGA DE SOBRES CON DOCUMENTACIÓN  LEGAL Y TÉCNICA Y ECONÓMICA Y APERTURA DE LOS DOS PRIMEROS RESPECTO A LA LICITACIÓN LTE 06/2018 “ADQUISICIÓN DE LUMINARIAS Y EQUIPAMIENTO T</w:t>
    </w:r>
    <w:r w:rsidDel="00000000" w:rsidR="00000000" w:rsidRPr="00000000">
      <w:rPr>
        <w:rFonts w:ascii="Tahoma" w:cs="Tahoma" w:eastAsia="Tahoma" w:hAnsi="Tahoma"/>
        <w:sz w:val="14"/>
        <w:szCs w:val="14"/>
        <w:rtl w:val="0"/>
      </w:rPr>
      <w:t xml:space="preserve">É</w:t>
    </w:r>
    <w:r w:rsidDel="00000000" w:rsidR="00000000" w:rsidRPr="00000000">
      <w:rPr>
        <w:rFonts w:ascii="Tahoma" w:cs="Tahoma" w:eastAsia="Tahoma" w:hAnsi="Tahoma"/>
        <w:b w:val="0"/>
        <w:i w:val="0"/>
        <w:smallCaps w:val="0"/>
        <w:strike w:val="0"/>
        <w:color w:val="000000"/>
        <w:sz w:val="14"/>
        <w:szCs w:val="14"/>
        <w:u w:val="none"/>
        <w:shd w:fill="auto" w:val="clear"/>
        <w:vertAlign w:val="baseline"/>
        <w:rtl w:val="0"/>
      </w:rPr>
      <w:t xml:space="preserve">CNICO”</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-219074</wp:posOffset>
          </wp:positionH>
          <wp:positionV relativeFrom="paragraph">
            <wp:posOffset>382905</wp:posOffset>
          </wp:positionV>
          <wp:extent cx="1981200" cy="723900"/>
          <wp:effectExtent b="0" l="0" r="0" t="0"/>
          <wp:wrapSquare wrapText="bothSides" distB="0" distT="0" distL="0" distR="0"/>
          <wp:docPr descr="Resultado de imagen para TLAQUEPAQUE.GOB.MX" id="4" name="image7.png"/>
          <a:graphic>
            <a:graphicData uri="http://schemas.openxmlformats.org/drawingml/2006/picture">
              <pic:pic>
                <pic:nvPicPr>
                  <pic:cNvPr descr="Resultado de imagen para TLAQUEPAQUE.GOB.MX" id="0" name="image7.png"/>
                  <pic:cNvPicPr preferRelativeResize="0"/>
                </pic:nvPicPr>
                <pic:blipFill>
                  <a:blip r:embed="rId1"/>
                  <a:srcRect b="0" l="0" r="71728" t="73596"/>
                  <a:stretch>
                    <a:fillRect/>
                  </a:stretch>
                </pic:blipFill>
                <pic:spPr>
                  <a:xfrm>
                    <a:off x="0" y="0"/>
                    <a:ext cx="1981200" cy="7239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margin">
            <wp:posOffset>5288915</wp:posOffset>
          </wp:positionH>
          <wp:positionV relativeFrom="paragraph">
            <wp:posOffset>308610</wp:posOffset>
          </wp:positionV>
          <wp:extent cx="542925" cy="800100"/>
          <wp:effectExtent b="0" l="0" r="0" t="0"/>
          <wp:wrapSquare wrapText="bothSides" distB="0" distT="0" distL="0" distR="0"/>
          <wp:docPr descr="Z:\RMZ\MY5w-rgn1.png" id="2" name="image5.png"/>
          <a:graphic>
            <a:graphicData uri="http://schemas.openxmlformats.org/drawingml/2006/picture">
              <pic:pic>
                <pic:nvPicPr>
                  <pic:cNvPr descr="Z:\RMZ\MY5w-rgn1.png" id="0" name="image5.png"/>
                  <pic:cNvPicPr preferRelativeResize="0"/>
                </pic:nvPicPr>
                <pic:blipFill>
                  <a:blip r:embed="rId2"/>
                  <a:srcRect b="29932" l="30612" r="30612" t="12925"/>
                  <a:stretch>
                    <a:fillRect/>
                  </a:stretch>
                </pic:blipFill>
                <pic:spPr>
                  <a:xfrm>
                    <a:off x="0" y="0"/>
                    <a:ext cx="542925" cy="8001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margin">
            <wp:posOffset>5936615</wp:posOffset>
          </wp:positionH>
          <wp:positionV relativeFrom="paragraph">
            <wp:posOffset>615315</wp:posOffset>
          </wp:positionV>
          <wp:extent cx="847725" cy="247650"/>
          <wp:effectExtent b="0" l="0" r="0" t="0"/>
          <wp:wrapSquare wrapText="bothSides" distB="0" distT="0" distL="0" distR="0"/>
          <wp:docPr descr="Z:\RMZ\MY5w-rgn1.png" id="5" name="image8.png"/>
          <a:graphic>
            <a:graphicData uri="http://schemas.openxmlformats.org/drawingml/2006/picture">
              <pic:pic>
                <pic:nvPicPr>
                  <pic:cNvPr descr="Z:\RMZ\MY5w-rgn1.png" id="0" name="image8.png"/>
                  <pic:cNvPicPr preferRelativeResize="0"/>
                </pic:nvPicPr>
                <pic:blipFill>
                  <a:blip r:embed="rId3"/>
                  <a:srcRect b="12245" l="20409" r="19048" t="70068"/>
                  <a:stretch>
                    <a:fillRect/>
                  </a:stretch>
                </pic:blipFill>
                <pic:spPr>
                  <a:xfrm>
                    <a:off x="0" y="0"/>
                    <a:ext cx="847725" cy="24765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-190499</wp:posOffset>
              </wp:positionH>
              <wp:positionV relativeFrom="paragraph">
                <wp:posOffset>1219200</wp:posOffset>
              </wp:positionV>
              <wp:extent cx="7378700" cy="320675"/>
              <wp:effectExtent b="0" l="0" r="0" t="0"/>
              <wp:wrapNone/>
              <wp:docPr id="1" name=""/>
              <a:graphic>
                <a:graphicData uri="http://schemas.microsoft.com/office/word/2010/wordprocessingShape">
                  <wps:wsp>
                    <wps:cNvSpPr/>
                    <wps:cNvPr id="2" name="Shape 2"/>
                    <wps:spPr>
                      <a:xfrm>
                        <a:off x="1669350" y="3632363"/>
                        <a:ext cx="7353300" cy="295275"/>
                      </a:xfrm>
                      <a:prstGeom prst="rect">
                        <a:avLst/>
                      </a:prstGeom>
                      <a:solidFill>
                        <a:srgbClr val="7F7F7F"/>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H. Ayuntamiento de Tlaquepaque, Dirección de Proveeduría. Hidalgo  13, Zona Centro, Tlaquepaque, Jalisco.</w:t>
                          </w:r>
                        </w:p>
                      </w:txbxContent>
                    </wps:txbx>
                    <wps:bodyPr anchorCtr="0" anchor="ctr"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-190499</wp:posOffset>
              </wp:positionH>
              <wp:positionV relativeFrom="paragraph">
                <wp:posOffset>1219200</wp:posOffset>
              </wp:positionV>
              <wp:extent cx="7378700" cy="320675"/>
              <wp:effectExtent b="0" l="0" r="0" t="0"/>
              <wp:wrapNone/>
              <wp:docPr id="1"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7378700" cy="32067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ind w:left="708" w:firstLine="708"/>
      <w:contextualSpacing w:val="0"/>
      <w:rPr>
        <w:b w:val="1"/>
        <w:color w:val="80808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-454659</wp:posOffset>
          </wp:positionH>
          <wp:positionV relativeFrom="paragraph">
            <wp:posOffset>-13333</wp:posOffset>
          </wp:positionV>
          <wp:extent cx="1352550" cy="1304925"/>
          <wp:effectExtent b="0" l="0" r="0" t="0"/>
          <wp:wrapSquare wrapText="bothSides" distB="0" distT="0" distL="0" distR="0"/>
          <wp:docPr descr="Z:\RMZ\MY5w-rgn1.png" id="3" name="image6.png"/>
          <a:graphic>
            <a:graphicData uri="http://schemas.openxmlformats.org/drawingml/2006/picture">
              <pic:pic>
                <pic:nvPicPr>
                  <pic:cNvPr descr="Z:\RMZ\MY5w-rgn1.png" id="0" name="image6.png"/>
                  <pic:cNvPicPr preferRelativeResize="0"/>
                </pic:nvPicPr>
                <pic:blipFill>
                  <a:blip r:embed="rId1"/>
                  <a:srcRect b="0" l="0" r="0" t="0"/>
                  <a:stretch>
                    <a:fillRect/>
                  </a:stretch>
                </pic:blipFill>
                <pic:spPr>
                  <a:xfrm>
                    <a:off x="0" y="0"/>
                    <a:ext cx="1352550" cy="1304925"/>
                  </a:xfrm>
                  <a:prstGeom prst="rect"/>
                  <a:ln/>
                </pic:spPr>
              </pic:pic>
            </a:graphicData>
          </a:graphic>
        </wp:anchor>
      </w:drawing>
    </w:r>
  </w:p>
  <w:p w:rsidR="00000000" w:rsidDel="00000000" w:rsidP="00000000" w:rsidRDefault="00000000" w:rsidRPr="00000000" w14:paraId="00000054">
    <w:pPr>
      <w:ind w:left="708" w:firstLine="708"/>
      <w:contextualSpacing w:val="0"/>
      <w:rPr>
        <w:b w:val="1"/>
        <w:color w:val="808080"/>
      </w:rPr>
    </w:pPr>
    <w:r w:rsidDel="00000000" w:rsidR="00000000" w:rsidRPr="00000000">
      <w:rPr>
        <w:rtl w:val="0"/>
      </w:rPr>
    </w:r>
  </w:p>
  <w:p w:rsidR="00000000" w:rsidDel="00000000" w:rsidP="00000000" w:rsidRDefault="00000000" w:rsidRPr="00000000" w14:paraId="00000055">
    <w:pPr>
      <w:ind w:left="708" w:firstLine="708"/>
      <w:contextualSpacing w:val="0"/>
      <w:rPr>
        <w:b w:val="1"/>
        <w:color w:val="808080"/>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rFonts w:ascii="Arial" w:cs="Arial" w:eastAsia="Arial" w:hAnsi="Arial"/>
      <w:b w:val="1"/>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5.png"/><Relationship Id="rId3" Type="http://schemas.openxmlformats.org/officeDocument/2006/relationships/image" Target="media/image8.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