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79" w:rsidRDefault="006C2E79" w:rsidP="006623D9">
      <w:pPr>
        <w:jc w:val="both"/>
        <w:rPr>
          <w:lang w:val="es-MX"/>
        </w:rPr>
      </w:pPr>
    </w:p>
    <w:p w:rsidR="00C632E1" w:rsidRDefault="00C632E1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San Pedro Tlaquepaque, Jalisco, siendo las 10:00 diez horas con cero minutos del día 07 siete del mes de febrero del 2018, se reunieron en la Sala de Ex</w:t>
      </w:r>
      <w:r w:rsidR="007F3C3F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presidentes, ubicada en la Planta Alta de Presidencia Municipal, en la calle Independencia No. 58 Col Centro de San Pedro Tlaquepaque, Jalisco, </w:t>
      </w:r>
      <w:r w:rsidRPr="00311906">
        <w:rPr>
          <w:rFonts w:ascii="Arial" w:hAnsi="Arial"/>
          <w:sz w:val="22"/>
        </w:rPr>
        <w:t>en sesión extraordinaria</w:t>
      </w:r>
      <w:r>
        <w:rPr>
          <w:rFonts w:ascii="Arial" w:hAnsi="Arial"/>
          <w:sz w:val="22"/>
        </w:rPr>
        <w:t xml:space="preserve">, los integrantes del Comité de Adquisiciones del Municipio de San Pedro Tlaquepaque, para llevar </w:t>
      </w:r>
      <w:r w:rsidRPr="005615CE">
        <w:rPr>
          <w:rFonts w:ascii="Arial" w:hAnsi="Arial"/>
          <w:sz w:val="22"/>
        </w:rPr>
        <w:t xml:space="preserve">a cabo el Dictamen Técnico, Apertura de las Propuestas Económicas y Fallo </w:t>
      </w:r>
      <w:r>
        <w:rPr>
          <w:rFonts w:ascii="Arial" w:hAnsi="Arial"/>
          <w:sz w:val="22"/>
        </w:rPr>
        <w:t>de</w:t>
      </w:r>
      <w:r w:rsidRPr="005615CE">
        <w:rPr>
          <w:rFonts w:ascii="Arial" w:hAnsi="Arial"/>
          <w:sz w:val="22"/>
        </w:rPr>
        <w:t xml:space="preserve"> la Licitación LT</w:t>
      </w:r>
      <w:r>
        <w:rPr>
          <w:rFonts w:ascii="Arial" w:hAnsi="Arial"/>
          <w:sz w:val="22"/>
        </w:rPr>
        <w:t>E</w:t>
      </w:r>
      <w:r w:rsidRPr="005615C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01</w:t>
      </w:r>
      <w:r w:rsidRPr="005615CE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2018</w:t>
      </w:r>
      <w:r w:rsidRPr="005615C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relativa al </w:t>
      </w:r>
      <w:r w:rsidRPr="00B855D0">
        <w:rPr>
          <w:rFonts w:ascii="Arial" w:hAnsi="Arial"/>
          <w:b/>
          <w:sz w:val="22"/>
        </w:rPr>
        <w:t xml:space="preserve">“SERVICIO DE CREACION Y </w:t>
      </w:r>
      <w:r>
        <w:rPr>
          <w:rFonts w:ascii="Arial" w:hAnsi="Arial"/>
          <w:b/>
          <w:sz w:val="22"/>
        </w:rPr>
        <w:t>DIFUSIO</w:t>
      </w:r>
      <w:r w:rsidR="00E1754D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 xml:space="preserve"> DE CONTENIDO EXCLUSIVAM</w:t>
      </w:r>
      <w:r w:rsidRPr="00B855D0">
        <w:rPr>
          <w:rFonts w:ascii="Arial" w:hAnsi="Arial"/>
          <w:b/>
          <w:sz w:val="22"/>
        </w:rPr>
        <w:t>ENTE A TRAVÉS DE INTERNE</w:t>
      </w:r>
      <w:r w:rsidRPr="00A23B18">
        <w:rPr>
          <w:rFonts w:ascii="Arial" w:hAnsi="Arial"/>
          <w:b/>
          <w:sz w:val="22"/>
        </w:rPr>
        <w:t>T”,</w:t>
      </w:r>
      <w:r w:rsidRPr="005615CE">
        <w:rPr>
          <w:rFonts w:ascii="Arial" w:hAnsi="Arial"/>
          <w:sz w:val="22"/>
        </w:rPr>
        <w:t xml:space="preserve"> por lo que </w:t>
      </w:r>
      <w:r>
        <w:rPr>
          <w:rFonts w:ascii="Arial" w:hAnsi="Arial"/>
          <w:sz w:val="22"/>
        </w:rPr>
        <w:t>se da inicio a la sesión del C</w:t>
      </w:r>
      <w:r w:rsidRPr="005615CE">
        <w:rPr>
          <w:rFonts w:ascii="Arial" w:hAnsi="Arial"/>
          <w:sz w:val="22"/>
        </w:rPr>
        <w:t>omi</w:t>
      </w:r>
      <w:r>
        <w:rPr>
          <w:rFonts w:ascii="Arial" w:hAnsi="Arial"/>
          <w:sz w:val="22"/>
        </w:rPr>
        <w:t>té</w:t>
      </w:r>
      <w:r w:rsidRPr="005615CE">
        <w:rPr>
          <w:rFonts w:ascii="Arial" w:hAnsi="Arial"/>
          <w:sz w:val="22"/>
        </w:rPr>
        <w:t xml:space="preserve"> de Adquisiciones del Municipio de San Pedro Tlaquepaque</w:t>
      </w:r>
      <w:r>
        <w:rPr>
          <w:rFonts w:ascii="Arial" w:hAnsi="Arial"/>
          <w:sz w:val="22"/>
        </w:rPr>
        <w:t>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Pr="005615CE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uso de la palabra el Mtro. José Luis Salazar Martínez, suplente de la Presidente del Comité de Adquisiciones</w:t>
      </w:r>
      <w:r w:rsidRPr="005615C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C. María Elena Limón García, </w:t>
      </w:r>
      <w:r w:rsidRPr="005615CE">
        <w:rPr>
          <w:rFonts w:ascii="Arial" w:hAnsi="Arial"/>
          <w:sz w:val="22"/>
        </w:rPr>
        <w:t xml:space="preserve">da la bienvenida a todos los asistentes a nombre del Gobierno Municipal de San Pedro Tlaquepaque </w:t>
      </w:r>
      <w:r>
        <w:rPr>
          <w:rFonts w:ascii="Arial" w:hAnsi="Arial"/>
          <w:sz w:val="22"/>
        </w:rPr>
        <w:t>y cede el uso de la voz a la Lic. Cynthia Liliana Hernández Ibarra, Secretaria Ejecutiva del Comité de Adquisiciones, la cual a su vez, somete</w:t>
      </w:r>
      <w:r w:rsidRPr="005615CE">
        <w:rPr>
          <w:rFonts w:ascii="Arial" w:hAnsi="Arial"/>
          <w:sz w:val="22"/>
        </w:rPr>
        <w:t xml:space="preserve"> a consideración de</w:t>
      </w:r>
      <w:r>
        <w:rPr>
          <w:rFonts w:ascii="Arial" w:hAnsi="Arial"/>
          <w:sz w:val="22"/>
        </w:rPr>
        <w:t>l</w:t>
      </w:r>
      <w:r w:rsidRPr="005615CE">
        <w:rPr>
          <w:rFonts w:ascii="Arial" w:hAnsi="Arial"/>
          <w:sz w:val="22"/>
        </w:rPr>
        <w:t xml:space="preserve"> Comi</w:t>
      </w:r>
      <w:r>
        <w:rPr>
          <w:rFonts w:ascii="Arial" w:hAnsi="Arial"/>
          <w:sz w:val="22"/>
        </w:rPr>
        <w:t>té</w:t>
      </w:r>
      <w:r w:rsidRPr="005615CE">
        <w:rPr>
          <w:rFonts w:ascii="Arial" w:hAnsi="Arial"/>
          <w:sz w:val="22"/>
        </w:rPr>
        <w:t xml:space="preserve"> el siguiente: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PUNTOS N</w:t>
      </w:r>
      <w:r w:rsidR="00182BB0"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z w:val="22"/>
        </w:rPr>
        <w:t>. 1 Y 2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Pr="003934DA" w:rsidRDefault="0020599C" w:rsidP="0020599C">
      <w:pPr>
        <w:jc w:val="both"/>
        <w:rPr>
          <w:rFonts w:ascii="Arial" w:hAnsi="Arial"/>
          <w:b/>
          <w:sz w:val="22"/>
        </w:rPr>
      </w:pPr>
      <w:r w:rsidRPr="003934DA">
        <w:rPr>
          <w:rFonts w:ascii="Arial" w:hAnsi="Arial"/>
          <w:b/>
          <w:sz w:val="22"/>
        </w:rPr>
        <w:t>LISTA DE ASISTENCIA Y DECLARACION DEL QUORUM LEGAL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Mtro. José Luis Salazar Martínez, suplente de la Presidente del Comité de Adquisiciones</w:t>
      </w:r>
      <w:r w:rsidRPr="005615C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C. María Elena Limón García, solicita a la Lic. Cynthia Liliana Hernández Ibarra, Secretaria Ejecutiva del Comité de Adquisiciones, la cual procede a nombrar asistencia y comenta que no existe el quórum necesario, por lo que se solicita la autorización de los miembros del Comité de Adquisiciones, votado por unanimidad  y conforme a lo establecido en el artículo 28 de la Ley de Compras Gubernamentales, Enajenaciones y Contratación de Servicios del Estado de Jalisco y sus Municipios, se da continuidad a la presente sesión.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lo anterior, se declara legalmente instalada la sesión del Comité de Adquisiciones.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C306E4" w:rsidRDefault="00C306E4" w:rsidP="00182BB0">
      <w:pPr>
        <w:rPr>
          <w:rFonts w:ascii="Arial" w:hAnsi="Arial"/>
          <w:b/>
          <w:sz w:val="22"/>
        </w:rPr>
      </w:pPr>
    </w:p>
    <w:p w:rsidR="00182BB0" w:rsidRDefault="00182BB0" w:rsidP="00182B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 No. 3</w:t>
      </w:r>
    </w:p>
    <w:p w:rsidR="00182BB0" w:rsidRDefault="00182BB0" w:rsidP="00182BB0">
      <w:pPr>
        <w:jc w:val="center"/>
        <w:rPr>
          <w:rFonts w:ascii="Arial" w:hAnsi="Arial"/>
          <w:b/>
          <w:sz w:val="22"/>
        </w:rPr>
      </w:pPr>
    </w:p>
    <w:p w:rsidR="00182BB0" w:rsidRDefault="00182BB0" w:rsidP="00182BB0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ORDEN DEL DIA</w:t>
      </w:r>
      <w:r>
        <w:rPr>
          <w:rFonts w:ascii="Arial" w:hAnsi="Arial"/>
          <w:sz w:val="22"/>
        </w:rPr>
        <w:t>:</w:t>
      </w:r>
    </w:p>
    <w:p w:rsidR="00182BB0" w:rsidRDefault="00182BB0" w:rsidP="00182BB0">
      <w:pPr>
        <w:jc w:val="both"/>
        <w:rPr>
          <w:rFonts w:ascii="Arial" w:hAnsi="Arial"/>
          <w:sz w:val="22"/>
        </w:rPr>
      </w:pPr>
    </w:p>
    <w:p w:rsidR="00182BB0" w:rsidRDefault="00182BB0" w:rsidP="00182BB0">
      <w:pPr>
        <w:jc w:val="both"/>
        <w:rPr>
          <w:rFonts w:ascii="Arial" w:hAnsi="Arial"/>
          <w:sz w:val="22"/>
        </w:rPr>
      </w:pPr>
    </w:p>
    <w:p w:rsidR="00182BB0" w:rsidRPr="00B855D0" w:rsidRDefault="00182BB0" w:rsidP="00182BB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855D0">
        <w:rPr>
          <w:rFonts w:ascii="Arial" w:hAnsi="Arial" w:cs="Arial"/>
        </w:rPr>
        <w:t xml:space="preserve">Lista de Asistencia. </w:t>
      </w:r>
    </w:p>
    <w:p w:rsidR="00182BB0" w:rsidRPr="00B855D0" w:rsidRDefault="00182BB0" w:rsidP="00182BB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855D0">
        <w:rPr>
          <w:rFonts w:ascii="Arial" w:hAnsi="Arial" w:cs="Arial"/>
        </w:rPr>
        <w:t>Declaración de Quórum legal.</w:t>
      </w:r>
    </w:p>
    <w:p w:rsidR="00182BB0" w:rsidRPr="00B855D0" w:rsidRDefault="00182BB0" w:rsidP="00182BB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855D0">
        <w:rPr>
          <w:rFonts w:ascii="Arial" w:hAnsi="Arial" w:cs="Arial"/>
          <w:lang w:val="es-ES_tradnl"/>
        </w:rPr>
        <w:t>Lectura y en su caso, aprobación del orden del día.</w:t>
      </w:r>
    </w:p>
    <w:p w:rsidR="00182BB0" w:rsidRPr="00B855D0" w:rsidRDefault="00182BB0" w:rsidP="00182BB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855D0">
        <w:rPr>
          <w:rFonts w:ascii="Arial" w:hAnsi="Arial" w:cs="Arial"/>
        </w:rPr>
        <w:t>Lectura del acta anterior.</w:t>
      </w:r>
    </w:p>
    <w:p w:rsidR="00182BB0" w:rsidRPr="00B855D0" w:rsidRDefault="00182BB0" w:rsidP="00182BB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855D0">
        <w:rPr>
          <w:rFonts w:ascii="Arial" w:hAnsi="Arial" w:cs="Arial"/>
        </w:rPr>
        <w:t>Dictámenes Legales y Técnicos.</w:t>
      </w:r>
    </w:p>
    <w:p w:rsidR="00182BB0" w:rsidRPr="00B855D0" w:rsidRDefault="00CC1518" w:rsidP="00182BB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Apertura de Propuestas E</w:t>
      </w:r>
      <w:r w:rsidR="00182BB0" w:rsidRPr="00B855D0">
        <w:rPr>
          <w:rFonts w:ascii="Arial" w:hAnsi="Arial" w:cs="Arial"/>
        </w:rPr>
        <w:t>conómicas</w:t>
      </w:r>
      <w:r w:rsidR="00C0071D">
        <w:rPr>
          <w:rFonts w:ascii="Arial" w:hAnsi="Arial" w:cs="Arial"/>
        </w:rPr>
        <w:t xml:space="preserve"> y Fallo</w:t>
      </w:r>
      <w:r w:rsidR="00182BB0" w:rsidRPr="00B855D0">
        <w:rPr>
          <w:rFonts w:ascii="Arial" w:hAnsi="Arial" w:cs="Arial"/>
        </w:rPr>
        <w:t>.</w:t>
      </w:r>
    </w:p>
    <w:p w:rsidR="00182BB0" w:rsidRPr="00B855D0" w:rsidRDefault="00182BB0" w:rsidP="00182BB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855D0">
        <w:rPr>
          <w:rFonts w:ascii="Arial" w:hAnsi="Arial" w:cs="Arial"/>
        </w:rPr>
        <w:t>Asuntos Varios.</w:t>
      </w:r>
    </w:p>
    <w:p w:rsidR="00182BB0" w:rsidRPr="00B855D0" w:rsidRDefault="00182BB0" w:rsidP="00182BB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855D0">
        <w:rPr>
          <w:rFonts w:ascii="Arial" w:hAnsi="Arial" w:cs="Arial"/>
        </w:rPr>
        <w:t>Clausura de la sesión.</w:t>
      </w:r>
    </w:p>
    <w:p w:rsidR="00182BB0" w:rsidRDefault="00182BB0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</w:p>
    <w:p w:rsidR="0020599C" w:rsidRDefault="00C306E4" w:rsidP="0020599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 No. 4</w:t>
      </w:r>
      <w:r w:rsidR="0020599C">
        <w:rPr>
          <w:rFonts w:ascii="Arial" w:hAnsi="Arial"/>
          <w:b/>
          <w:sz w:val="22"/>
        </w:rPr>
        <w:t xml:space="preserve"> </w:t>
      </w: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</w:p>
    <w:p w:rsidR="00C306E4" w:rsidRDefault="00C306E4" w:rsidP="00C306E4">
      <w:pPr>
        <w:jc w:val="both"/>
        <w:rPr>
          <w:rFonts w:ascii="Arial" w:hAnsi="Arial"/>
          <w:b/>
          <w:sz w:val="22"/>
        </w:rPr>
      </w:pPr>
      <w:r w:rsidRPr="003934DA"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z w:val="22"/>
        </w:rPr>
        <w:t>ECTURA DEL ACTA ANTERIOR</w:t>
      </w:r>
    </w:p>
    <w:p w:rsidR="00C306E4" w:rsidRDefault="00C306E4" w:rsidP="00C306E4">
      <w:pPr>
        <w:jc w:val="both"/>
        <w:rPr>
          <w:rFonts w:ascii="Arial" w:hAnsi="Arial"/>
          <w:b/>
          <w:sz w:val="22"/>
        </w:rPr>
      </w:pPr>
    </w:p>
    <w:p w:rsidR="00C306E4" w:rsidRDefault="00C306E4" w:rsidP="00C306E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Lic. Cynthia Liliana Hernández Ibarra, Secretaria Ejecutiva del Comité de Adquisiciones, propone al Comité, que para efectos prácticos</w:t>
      </w:r>
      <w:r w:rsidR="00C632E1">
        <w:rPr>
          <w:rFonts w:ascii="Arial" w:hAnsi="Arial"/>
          <w:sz w:val="22"/>
        </w:rPr>
        <w:t xml:space="preserve"> y de tiempo</w:t>
      </w:r>
      <w:r>
        <w:rPr>
          <w:rFonts w:ascii="Arial" w:hAnsi="Arial"/>
          <w:sz w:val="22"/>
        </w:rPr>
        <w:t xml:space="preserve"> se </w:t>
      </w:r>
      <w:r w:rsidR="00E97166">
        <w:rPr>
          <w:rFonts w:ascii="Arial" w:hAnsi="Arial"/>
          <w:sz w:val="22"/>
        </w:rPr>
        <w:t xml:space="preserve">omita la lectura como tal y en su caso se </w:t>
      </w:r>
      <w:r>
        <w:rPr>
          <w:rFonts w:ascii="Arial" w:hAnsi="Arial"/>
          <w:sz w:val="22"/>
        </w:rPr>
        <w:t>reparta copia del acta anterior a cada uno de los integrantes y así cada quién le de lectura en lo particular.</w:t>
      </w:r>
    </w:p>
    <w:p w:rsidR="00C632E1" w:rsidRDefault="00C632E1" w:rsidP="00C306E4">
      <w:pPr>
        <w:jc w:val="both"/>
        <w:rPr>
          <w:rFonts w:ascii="Arial" w:hAnsi="Arial"/>
          <w:b/>
          <w:sz w:val="22"/>
        </w:rPr>
      </w:pPr>
    </w:p>
    <w:p w:rsidR="00C306E4" w:rsidRPr="00C632E1" w:rsidRDefault="00C632E1" w:rsidP="00C306E4">
      <w:pPr>
        <w:jc w:val="both"/>
        <w:rPr>
          <w:rFonts w:ascii="Arial" w:hAnsi="Arial"/>
          <w:sz w:val="22"/>
        </w:rPr>
      </w:pPr>
      <w:r w:rsidRPr="00C632E1">
        <w:rPr>
          <w:rFonts w:ascii="Arial" w:hAnsi="Arial"/>
          <w:sz w:val="22"/>
        </w:rPr>
        <w:t>Situación que se aprueba por unanimidad.</w:t>
      </w:r>
    </w:p>
    <w:p w:rsidR="00C306E4" w:rsidRDefault="00C306E4" w:rsidP="00C306E4">
      <w:pPr>
        <w:jc w:val="both"/>
        <w:rPr>
          <w:rFonts w:ascii="Arial" w:hAnsi="Arial"/>
          <w:b/>
          <w:sz w:val="22"/>
        </w:rPr>
      </w:pPr>
    </w:p>
    <w:p w:rsidR="00C306E4" w:rsidRDefault="00C306E4" w:rsidP="00C306E4">
      <w:pPr>
        <w:jc w:val="both"/>
        <w:rPr>
          <w:rFonts w:ascii="Arial" w:hAnsi="Arial"/>
          <w:b/>
          <w:sz w:val="22"/>
        </w:rPr>
      </w:pPr>
    </w:p>
    <w:p w:rsidR="00C632E1" w:rsidRDefault="00C632E1" w:rsidP="0020599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PUNTO No. 5 </w:t>
      </w:r>
    </w:p>
    <w:p w:rsidR="00C632E1" w:rsidRDefault="00C632E1" w:rsidP="0020599C">
      <w:pPr>
        <w:jc w:val="both"/>
        <w:rPr>
          <w:rFonts w:ascii="Arial" w:hAnsi="Arial"/>
          <w:b/>
          <w:sz w:val="22"/>
        </w:rPr>
      </w:pP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DICTAMINACION TECNICA Y LEGAL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C632E1" w:rsidRDefault="00C632E1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 w:rsidRPr="003E32D9">
        <w:rPr>
          <w:rFonts w:ascii="Arial" w:hAnsi="Arial"/>
          <w:b/>
          <w:sz w:val="22"/>
        </w:rPr>
        <w:t>DOCUMENTACIÓN LEGAL</w:t>
      </w:r>
      <w:r>
        <w:rPr>
          <w:rFonts w:ascii="Arial" w:hAnsi="Arial"/>
          <w:sz w:val="22"/>
        </w:rPr>
        <w:t>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uso de la voz la Lic. Cynthia Liliana Hernández Ibarra, Secretaria Ejecutiva del Comité de Adquisiciones, comenta que se </w:t>
      </w:r>
      <w:r w:rsidR="00E97166">
        <w:rPr>
          <w:rFonts w:ascii="Arial" w:hAnsi="Arial"/>
          <w:sz w:val="22"/>
        </w:rPr>
        <w:t>asentó</w:t>
      </w:r>
      <w:r>
        <w:rPr>
          <w:rFonts w:ascii="Arial" w:hAnsi="Arial"/>
          <w:sz w:val="22"/>
        </w:rPr>
        <w:t xml:space="preserve"> la información en cuadros comparativos para facilitar su manejo, los cuales se anexan a la presente acta, desprendiéndose la siguiente información: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Pr="00A30E0E" w:rsidRDefault="0020599C" w:rsidP="0020599C">
      <w:pPr>
        <w:jc w:val="both"/>
        <w:rPr>
          <w:rFonts w:ascii="Arial" w:hAnsi="Arial"/>
          <w:sz w:val="22"/>
        </w:rPr>
      </w:pPr>
      <w:r w:rsidRPr="00A30E0E">
        <w:rPr>
          <w:rFonts w:ascii="Arial" w:hAnsi="Arial"/>
          <w:b/>
          <w:sz w:val="22"/>
        </w:rPr>
        <w:t xml:space="preserve">Consorcio </w:t>
      </w:r>
      <w:proofErr w:type="spellStart"/>
      <w:r w:rsidRPr="00A30E0E">
        <w:rPr>
          <w:rFonts w:ascii="Arial" w:hAnsi="Arial"/>
          <w:b/>
          <w:sz w:val="22"/>
        </w:rPr>
        <w:t>Urebia</w:t>
      </w:r>
      <w:proofErr w:type="spellEnd"/>
      <w:r w:rsidRPr="00A30E0E">
        <w:rPr>
          <w:rFonts w:ascii="Arial" w:hAnsi="Arial"/>
          <w:b/>
          <w:sz w:val="22"/>
        </w:rPr>
        <w:t>, S.A. de C. V.</w:t>
      </w:r>
      <w:r>
        <w:rPr>
          <w:rFonts w:ascii="Arial" w:hAnsi="Arial"/>
          <w:sz w:val="22"/>
        </w:rPr>
        <w:t xml:space="preserve"> </w:t>
      </w:r>
      <w:r w:rsidRPr="00A30E0E">
        <w:rPr>
          <w:rFonts w:ascii="Arial" w:hAnsi="Arial"/>
          <w:sz w:val="22"/>
        </w:rPr>
        <w:t xml:space="preserve">cumple con todos los requisitos legales solicitados en las bases, </w:t>
      </w:r>
      <w:r>
        <w:rPr>
          <w:rFonts w:ascii="Arial" w:hAnsi="Arial"/>
          <w:sz w:val="22"/>
        </w:rPr>
        <w:t>con excepción de la Licencia Municipal.</w:t>
      </w:r>
    </w:p>
    <w:p w:rsidR="0020599C" w:rsidRPr="00A23B18" w:rsidRDefault="0020599C" w:rsidP="0020599C">
      <w:pPr>
        <w:jc w:val="both"/>
        <w:rPr>
          <w:rFonts w:ascii="Arial" w:hAnsi="Arial"/>
          <w:color w:val="FF0000"/>
          <w:sz w:val="22"/>
        </w:rPr>
      </w:pPr>
    </w:p>
    <w:p w:rsidR="0020599C" w:rsidRPr="00A30E0E" w:rsidRDefault="0020599C" w:rsidP="0020599C">
      <w:pPr>
        <w:jc w:val="both"/>
        <w:rPr>
          <w:rFonts w:ascii="Arial" w:hAnsi="Arial"/>
          <w:sz w:val="22"/>
        </w:rPr>
      </w:pPr>
      <w:r w:rsidRPr="00A30E0E">
        <w:rPr>
          <w:rFonts w:ascii="Arial" w:hAnsi="Arial"/>
          <w:b/>
          <w:sz w:val="22"/>
        </w:rPr>
        <w:t>En el caso de La Elite del Talento, S.A. de C.V.,</w:t>
      </w:r>
      <w:r>
        <w:rPr>
          <w:rFonts w:ascii="Arial" w:hAnsi="Arial"/>
          <w:sz w:val="22"/>
        </w:rPr>
        <w:t xml:space="preserve"> </w:t>
      </w:r>
      <w:r w:rsidRPr="00A30E0E">
        <w:rPr>
          <w:rFonts w:ascii="Arial" w:hAnsi="Arial"/>
          <w:sz w:val="22"/>
        </w:rPr>
        <w:t xml:space="preserve">cumple con todos los requisitos legales solicitados en las bases, </w:t>
      </w:r>
      <w:r>
        <w:rPr>
          <w:rFonts w:ascii="Arial" w:hAnsi="Arial"/>
          <w:sz w:val="22"/>
        </w:rPr>
        <w:t>con excepción de la Licencia Municipal y del Poder Notarial para el Representante Legal quien comparezca a la Licitación.</w:t>
      </w:r>
    </w:p>
    <w:p w:rsidR="0020599C" w:rsidRPr="00EF63DC" w:rsidRDefault="0020599C" w:rsidP="0020599C">
      <w:pPr>
        <w:jc w:val="both"/>
        <w:rPr>
          <w:rFonts w:ascii="Arial" w:hAnsi="Arial"/>
          <w:b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 w:rsidRPr="00A30E0E">
        <w:rPr>
          <w:rFonts w:ascii="Arial" w:hAnsi="Arial"/>
          <w:b/>
          <w:sz w:val="22"/>
        </w:rPr>
        <w:t>Por otra parte DG Asesoría Integral, S. C.</w:t>
      </w:r>
      <w:r>
        <w:rPr>
          <w:rFonts w:ascii="Arial" w:hAnsi="Arial"/>
          <w:b/>
          <w:sz w:val="22"/>
        </w:rPr>
        <w:t xml:space="preserve">, </w:t>
      </w:r>
      <w:r w:rsidRPr="00A30E0E">
        <w:rPr>
          <w:rFonts w:ascii="Arial" w:hAnsi="Arial"/>
          <w:sz w:val="22"/>
        </w:rPr>
        <w:t xml:space="preserve">cumple con todos los requisitos legales solicitados en las bases, </w:t>
      </w:r>
      <w:r>
        <w:rPr>
          <w:rFonts w:ascii="Arial" w:hAnsi="Arial"/>
          <w:sz w:val="22"/>
        </w:rPr>
        <w:t>con excepción de la Licencia Municipal.</w:t>
      </w:r>
    </w:p>
    <w:p w:rsidR="0020599C" w:rsidRPr="00A30E0E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acuerdo al Dictamen Legal, se desprende que la empresa L</w:t>
      </w:r>
      <w:r w:rsidR="00D83C3B">
        <w:rPr>
          <w:rFonts w:ascii="Arial" w:hAnsi="Arial"/>
          <w:sz w:val="22"/>
        </w:rPr>
        <w:t xml:space="preserve">a Elite del Talento, S. A. de </w:t>
      </w:r>
      <w:r>
        <w:rPr>
          <w:rFonts w:ascii="Arial" w:hAnsi="Arial"/>
          <w:sz w:val="22"/>
        </w:rPr>
        <w:t>C. V. no presenta  el Poder Notarial para el Representante Legal.</w:t>
      </w:r>
    </w:p>
    <w:p w:rsidR="0020599C" w:rsidRDefault="0020599C" w:rsidP="0020599C">
      <w:pPr>
        <w:jc w:val="both"/>
        <w:rPr>
          <w:rFonts w:ascii="Arial" w:hAnsi="Arial"/>
          <w:i/>
          <w:sz w:val="22"/>
          <w:szCs w:val="22"/>
        </w:rPr>
      </w:pPr>
    </w:p>
    <w:p w:rsidR="0020599C" w:rsidRPr="00A30E0E" w:rsidRDefault="0020599C" w:rsidP="002059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Acto seguido, se pone a consideración de los miembros del Comité de Adquisiciones la falta del Poder Notarial para el Representante Legal quien comparezca a la Licitación del participante: La Elite del Talento, S. A. de C.V. p</w:t>
      </w:r>
      <w:r w:rsidR="00EE1E90">
        <w:rPr>
          <w:rFonts w:ascii="Arial" w:hAnsi="Arial"/>
          <w:sz w:val="22"/>
          <w:szCs w:val="22"/>
        </w:rPr>
        <w:t>or lo que por una</w:t>
      </w:r>
      <w:r w:rsidR="00674E71">
        <w:rPr>
          <w:rFonts w:ascii="Arial" w:hAnsi="Arial"/>
          <w:sz w:val="22"/>
          <w:szCs w:val="22"/>
        </w:rPr>
        <w:t>ni</w:t>
      </w:r>
      <w:r w:rsidR="00EE1E90">
        <w:rPr>
          <w:rFonts w:ascii="Arial" w:hAnsi="Arial"/>
          <w:sz w:val="22"/>
          <w:szCs w:val="22"/>
        </w:rPr>
        <w:t>midad</w:t>
      </w:r>
      <w:r w:rsidRPr="00A30E0E">
        <w:rPr>
          <w:rFonts w:ascii="Arial" w:hAnsi="Arial"/>
          <w:sz w:val="22"/>
          <w:szCs w:val="22"/>
        </w:rPr>
        <w:t xml:space="preserve"> de los miembros presentes del Comité de Adquisiciones</w:t>
      </w:r>
      <w:r>
        <w:rPr>
          <w:rFonts w:ascii="Arial" w:hAnsi="Arial"/>
          <w:sz w:val="22"/>
          <w:szCs w:val="22"/>
        </w:rPr>
        <w:t xml:space="preserve"> lo dan por descalificado</w:t>
      </w:r>
      <w:r w:rsidRPr="00A30E0E">
        <w:rPr>
          <w:rFonts w:ascii="Arial" w:hAnsi="Arial"/>
          <w:sz w:val="22"/>
          <w:szCs w:val="22"/>
        </w:rPr>
        <w:t>.</w:t>
      </w:r>
    </w:p>
    <w:p w:rsidR="0020599C" w:rsidRPr="00F960E8" w:rsidRDefault="0020599C" w:rsidP="0020599C">
      <w:pPr>
        <w:jc w:val="both"/>
        <w:rPr>
          <w:rFonts w:ascii="Arial" w:hAnsi="Arial"/>
          <w:b/>
          <w:sz w:val="22"/>
          <w:szCs w:val="22"/>
        </w:rPr>
      </w:pPr>
    </w:p>
    <w:p w:rsidR="00D83C3B" w:rsidRDefault="00D83C3B" w:rsidP="0020599C">
      <w:pPr>
        <w:jc w:val="both"/>
        <w:rPr>
          <w:rFonts w:ascii="Arial" w:hAnsi="Arial"/>
          <w:b/>
          <w:sz w:val="22"/>
        </w:rPr>
      </w:pPr>
    </w:p>
    <w:p w:rsidR="001E7102" w:rsidRDefault="001E7102" w:rsidP="0020599C">
      <w:pPr>
        <w:jc w:val="both"/>
        <w:rPr>
          <w:rFonts w:ascii="Arial" w:hAnsi="Arial"/>
          <w:b/>
          <w:sz w:val="22"/>
        </w:rPr>
      </w:pPr>
    </w:p>
    <w:p w:rsidR="001E7102" w:rsidRDefault="001E7102" w:rsidP="0020599C">
      <w:pPr>
        <w:jc w:val="both"/>
        <w:rPr>
          <w:rFonts w:ascii="Arial" w:hAnsi="Arial"/>
          <w:b/>
          <w:sz w:val="22"/>
        </w:rPr>
      </w:pPr>
    </w:p>
    <w:p w:rsidR="001E7102" w:rsidRDefault="001E7102" w:rsidP="0020599C">
      <w:pPr>
        <w:jc w:val="both"/>
        <w:rPr>
          <w:rFonts w:ascii="Arial" w:hAnsi="Arial"/>
          <w:b/>
          <w:sz w:val="22"/>
        </w:rPr>
      </w:pPr>
    </w:p>
    <w:p w:rsidR="001E7102" w:rsidRDefault="001E7102" w:rsidP="0020599C">
      <w:pPr>
        <w:jc w:val="both"/>
        <w:rPr>
          <w:rFonts w:ascii="Arial" w:hAnsi="Arial"/>
          <w:b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 w:rsidRPr="003E32D9">
        <w:rPr>
          <w:rFonts w:ascii="Arial" w:hAnsi="Arial"/>
          <w:b/>
          <w:sz w:val="22"/>
        </w:rPr>
        <w:t xml:space="preserve">DOCUMENTACIÓN </w:t>
      </w:r>
      <w:r>
        <w:rPr>
          <w:rFonts w:ascii="Arial" w:hAnsi="Arial"/>
          <w:b/>
          <w:sz w:val="22"/>
        </w:rPr>
        <w:t>TÉCNICA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Pr="008C7F42" w:rsidRDefault="0020599C" w:rsidP="0020599C">
      <w:pPr>
        <w:jc w:val="both"/>
        <w:rPr>
          <w:rFonts w:ascii="Arial" w:hAnsi="Arial"/>
          <w:sz w:val="22"/>
        </w:rPr>
      </w:pPr>
      <w:r w:rsidRPr="008C7F42">
        <w:rPr>
          <w:rFonts w:ascii="Arial" w:hAnsi="Arial"/>
          <w:sz w:val="22"/>
        </w:rPr>
        <w:t xml:space="preserve">La Lic. Cynthia Liliana Hernández Ibarra, Secretaria Ejecutiva del Comité de Adquisiciones, por lo que respecta a éste punto, comenta que solo Consorcio </w:t>
      </w:r>
      <w:proofErr w:type="spellStart"/>
      <w:r w:rsidRPr="008C7F42">
        <w:rPr>
          <w:rFonts w:ascii="Arial" w:hAnsi="Arial"/>
          <w:sz w:val="22"/>
        </w:rPr>
        <w:t>Urebia</w:t>
      </w:r>
      <w:proofErr w:type="spellEnd"/>
      <w:r w:rsidRPr="008C7F42">
        <w:rPr>
          <w:rFonts w:ascii="Arial" w:hAnsi="Arial"/>
          <w:sz w:val="22"/>
        </w:rPr>
        <w:t>, S. A. de C. V. cumplió con las especificacio</w:t>
      </w:r>
      <w:r w:rsidR="001E7102">
        <w:rPr>
          <w:rFonts w:ascii="Arial" w:hAnsi="Arial"/>
          <w:sz w:val="22"/>
        </w:rPr>
        <w:t>nes solicitadas presentando un plan p</w:t>
      </w:r>
      <w:r w:rsidRPr="008C7F42">
        <w:rPr>
          <w:rFonts w:ascii="Arial" w:hAnsi="Arial"/>
          <w:sz w:val="22"/>
        </w:rPr>
        <w:t xml:space="preserve">rofesional así como una planilla de personal clara, en tanto que </w:t>
      </w:r>
      <w:r w:rsidR="001E7102">
        <w:rPr>
          <w:rFonts w:ascii="Arial" w:hAnsi="Arial"/>
          <w:sz w:val="22"/>
        </w:rPr>
        <w:t>la moral denominada La Elite del T</w:t>
      </w:r>
      <w:r w:rsidRPr="008C7F42">
        <w:rPr>
          <w:rFonts w:ascii="Arial" w:hAnsi="Arial"/>
          <w:sz w:val="22"/>
        </w:rPr>
        <w:t>alento, S. A. de C. V. y DG Asesoría Integral S. C. su propuesta fue informal y no presentan forma de operación.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Pr="001D68F5" w:rsidRDefault="004E62C4" w:rsidP="0020599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PUNTO No. 6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  <w:r w:rsidRPr="00262C3C">
        <w:rPr>
          <w:rFonts w:ascii="Arial" w:hAnsi="Arial"/>
          <w:b/>
          <w:sz w:val="22"/>
        </w:rPr>
        <w:t>APERTURA DE PROPUESTAS ECONÓMICAS</w:t>
      </w: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Mtro. José Luis Salazar Martínez, suplente de la Presidente del Comité de Adquisiciones, C. María Elena Limón García, solicita a la Lic. Cynthia Liliana Hernández Ibarra, Secretaria Ejecutiva del Comité de Adquisiciones, </w:t>
      </w:r>
      <w:r w:rsidR="004E62C4">
        <w:rPr>
          <w:rFonts w:ascii="Arial" w:hAnsi="Arial"/>
          <w:sz w:val="22"/>
        </w:rPr>
        <w:t xml:space="preserve">que proceda </w:t>
      </w:r>
      <w:r>
        <w:rPr>
          <w:rFonts w:ascii="Arial" w:hAnsi="Arial"/>
          <w:sz w:val="22"/>
        </w:rPr>
        <w:t>a la apertura y lectura de las propuestas económicas</w:t>
      </w:r>
      <w:r w:rsidR="00674E71">
        <w:rPr>
          <w:rFonts w:ascii="Arial" w:hAnsi="Arial"/>
          <w:sz w:val="22"/>
        </w:rPr>
        <w:t xml:space="preserve"> de los dos licitantes que continúan participando</w:t>
      </w:r>
      <w:r>
        <w:rPr>
          <w:rFonts w:ascii="Arial" w:hAnsi="Arial"/>
          <w:sz w:val="22"/>
        </w:rPr>
        <w:t xml:space="preserve">, la cual </w:t>
      </w:r>
      <w:r w:rsidR="004E62C4">
        <w:rPr>
          <w:rFonts w:ascii="Arial" w:hAnsi="Arial"/>
          <w:sz w:val="22"/>
        </w:rPr>
        <w:t>así lo realiza procediendo al análisis detallado de la</w:t>
      </w:r>
      <w:r w:rsidR="00505986">
        <w:rPr>
          <w:rFonts w:ascii="Arial" w:hAnsi="Arial"/>
          <w:sz w:val="22"/>
        </w:rPr>
        <w:t>s</w:t>
      </w:r>
      <w:r w:rsidR="004E62C4">
        <w:rPr>
          <w:rFonts w:ascii="Arial" w:hAnsi="Arial"/>
          <w:sz w:val="22"/>
        </w:rPr>
        <w:t xml:space="preserve"> mismas </w:t>
      </w:r>
      <w:r>
        <w:rPr>
          <w:rFonts w:ascii="Arial" w:hAnsi="Arial"/>
          <w:sz w:val="22"/>
        </w:rPr>
        <w:t>en el cuadro comparativo anexo, del que se desprende la siguiente información: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 w:rsidRPr="008C7F42">
        <w:rPr>
          <w:rFonts w:ascii="Arial" w:hAnsi="Arial"/>
          <w:b/>
          <w:sz w:val="22"/>
        </w:rPr>
        <w:t xml:space="preserve">Consorcio </w:t>
      </w:r>
      <w:proofErr w:type="spellStart"/>
      <w:r w:rsidRPr="008C7F42">
        <w:rPr>
          <w:rFonts w:ascii="Arial" w:hAnsi="Arial"/>
          <w:b/>
          <w:sz w:val="22"/>
        </w:rPr>
        <w:t>Urebia</w:t>
      </w:r>
      <w:proofErr w:type="spellEnd"/>
      <w:r w:rsidRPr="008C7F42">
        <w:rPr>
          <w:rFonts w:ascii="Arial" w:hAnsi="Arial"/>
          <w:b/>
          <w:sz w:val="22"/>
        </w:rPr>
        <w:t>, S.A. de C. V.,</w:t>
      </w:r>
      <w:r>
        <w:rPr>
          <w:rFonts w:ascii="Arial" w:hAnsi="Arial"/>
          <w:sz w:val="22"/>
        </w:rPr>
        <w:t xml:space="preserve">  ofrece un precio </w:t>
      </w:r>
      <w:r w:rsidR="007422F7">
        <w:rPr>
          <w:rFonts w:ascii="Arial" w:hAnsi="Arial"/>
          <w:sz w:val="22"/>
        </w:rPr>
        <w:t xml:space="preserve">global total </w:t>
      </w:r>
      <w:r>
        <w:rPr>
          <w:rFonts w:ascii="Arial" w:hAnsi="Arial"/>
          <w:sz w:val="22"/>
        </w:rPr>
        <w:t>de $ 162,400.00 IVA incluido.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Incluye carta compromiso de entrega de cheque certificado o fianza en caso de resultar adjudicado, misma que fue solicitada en las bases.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Incluye carta manifiesto bajo protesta de decir verdad, que señala que los precios cotizados se sostendrán vigentes el tiempo que dure la licitación y toda la duración del contrato.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Condiciones de Pago: Mensual.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 w:rsidRPr="008C7F42">
        <w:rPr>
          <w:rFonts w:ascii="Arial" w:hAnsi="Arial"/>
          <w:b/>
          <w:sz w:val="22"/>
        </w:rPr>
        <w:t>DG Asesoría integral S. C</w:t>
      </w:r>
      <w:r>
        <w:rPr>
          <w:rFonts w:ascii="Arial" w:hAnsi="Arial"/>
          <w:sz w:val="22"/>
        </w:rPr>
        <w:t>., ofrece un precio individual de $208,333.33 IVA incluido.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Incluye carta compromiso de entrega de cheque certificado o fianza en caso de resultar adjudicado, misma que fue solicitada en las bases. 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Incluye carta manifiesto bajo protesta de decir verdad, que señala que los precios cotizados se sostendrán vigentes el tiempo que dure la licitación y toda la duración del contrato.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Condiciones de Pago: Trimestral.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 les pregunta a los </w:t>
      </w:r>
      <w:r w:rsidR="00674E71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articipantes si son correctos los datos que se les presentan en el cuadro comparativo, a lo que todos responde</w:t>
      </w:r>
      <w:r w:rsidR="00A11FF4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que Sí.</w:t>
      </w: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 w:rsidRPr="00D21C97">
        <w:rPr>
          <w:rFonts w:ascii="Arial" w:hAnsi="Arial"/>
          <w:sz w:val="22"/>
        </w:rPr>
        <w:t xml:space="preserve">Posteriormente, </w:t>
      </w:r>
      <w:r>
        <w:rPr>
          <w:rFonts w:ascii="Arial" w:hAnsi="Arial"/>
          <w:sz w:val="22"/>
        </w:rPr>
        <w:t xml:space="preserve">la Lic. Cynthia Liliana Hernández Ibarra, Secretaria Ejecutiva del Comité agradece a los participantes su asistencia y una vez desahogada la apertura de las propuestas económicas les pide se </w:t>
      </w:r>
      <w:r w:rsidR="00A11FF4">
        <w:rPr>
          <w:rFonts w:ascii="Arial" w:hAnsi="Arial"/>
          <w:sz w:val="22"/>
        </w:rPr>
        <w:t xml:space="preserve">a los licitantes se </w:t>
      </w:r>
      <w:r>
        <w:rPr>
          <w:rFonts w:ascii="Arial" w:hAnsi="Arial"/>
          <w:sz w:val="22"/>
        </w:rPr>
        <w:t xml:space="preserve">retiren del recinto </w:t>
      </w:r>
      <w:r w:rsidR="00A11FF4">
        <w:rPr>
          <w:rFonts w:ascii="Arial" w:hAnsi="Arial"/>
          <w:sz w:val="22"/>
        </w:rPr>
        <w:t xml:space="preserve">a fin de que los </w:t>
      </w:r>
      <w:r>
        <w:rPr>
          <w:rFonts w:ascii="Arial" w:hAnsi="Arial"/>
          <w:sz w:val="22"/>
        </w:rPr>
        <w:t>miembros del Comité de Adquisiciones procedan a delib</w:t>
      </w:r>
      <w:r w:rsidR="00A11FF4">
        <w:rPr>
          <w:rFonts w:ascii="Arial" w:hAnsi="Arial"/>
          <w:sz w:val="22"/>
        </w:rPr>
        <w:t>erar respecto al fallo de la l</w:t>
      </w:r>
      <w:r>
        <w:rPr>
          <w:rFonts w:ascii="Arial" w:hAnsi="Arial"/>
          <w:sz w:val="22"/>
        </w:rPr>
        <w:t xml:space="preserve">icitación, indicándoles que el fallo de la misma se dará a conocer el </w:t>
      </w:r>
      <w:r w:rsidR="00A11FF4">
        <w:rPr>
          <w:rFonts w:ascii="Arial" w:hAnsi="Arial"/>
          <w:sz w:val="22"/>
        </w:rPr>
        <w:t xml:space="preserve">próximo </w:t>
      </w:r>
      <w:r>
        <w:rPr>
          <w:rFonts w:ascii="Arial" w:hAnsi="Arial"/>
          <w:sz w:val="22"/>
        </w:rPr>
        <w:t xml:space="preserve">08 de Febrero del presente a las 13:00 </w:t>
      </w:r>
      <w:r w:rsidR="00A11FF4">
        <w:rPr>
          <w:rFonts w:ascii="Arial" w:hAnsi="Arial"/>
          <w:sz w:val="22"/>
        </w:rPr>
        <w:t>trece horas con cero minutos</w:t>
      </w:r>
      <w:r>
        <w:rPr>
          <w:rFonts w:ascii="Arial" w:hAnsi="Arial"/>
          <w:sz w:val="22"/>
        </w:rPr>
        <w:t xml:space="preserve"> en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/>
            <w:sz w:val="22"/>
          </w:rPr>
          <w:t>la Dirección</w:t>
        </w:r>
      </w:smartTag>
      <w:r>
        <w:rPr>
          <w:rFonts w:ascii="Arial" w:hAnsi="Arial"/>
          <w:sz w:val="22"/>
        </w:rPr>
        <w:t xml:space="preserve"> de Proveeduría, ubicada en Hidalgo No. 13, en ésta Municipalidad.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</w:p>
    <w:p w:rsidR="008E362B" w:rsidRDefault="008E362B" w:rsidP="0020599C">
      <w:pPr>
        <w:jc w:val="both"/>
        <w:rPr>
          <w:rFonts w:ascii="Arial" w:hAnsi="Arial"/>
          <w:b/>
          <w:sz w:val="22"/>
        </w:rPr>
      </w:pPr>
    </w:p>
    <w:p w:rsidR="008E362B" w:rsidRDefault="008E362B" w:rsidP="0020599C">
      <w:pPr>
        <w:jc w:val="both"/>
        <w:rPr>
          <w:rFonts w:ascii="Arial" w:hAnsi="Arial"/>
          <w:b/>
          <w:sz w:val="22"/>
        </w:rPr>
      </w:pPr>
    </w:p>
    <w:p w:rsidR="008E362B" w:rsidRDefault="008E362B" w:rsidP="0020599C">
      <w:pPr>
        <w:jc w:val="both"/>
        <w:rPr>
          <w:rFonts w:ascii="Arial" w:hAnsi="Arial"/>
          <w:b/>
          <w:sz w:val="22"/>
        </w:rPr>
      </w:pPr>
    </w:p>
    <w:p w:rsidR="008E362B" w:rsidRDefault="008E362B" w:rsidP="0020599C">
      <w:pPr>
        <w:jc w:val="both"/>
        <w:rPr>
          <w:rFonts w:ascii="Arial" w:hAnsi="Arial"/>
          <w:b/>
          <w:sz w:val="22"/>
        </w:rPr>
      </w:pP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FALLO</w:t>
      </w: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Mtro. José Luis Salazar Martínez, en Representación de la Presidente del Comité de Adquisiciones</w:t>
      </w:r>
      <w:r w:rsidRPr="005615C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C. María Elena Limón García, comenta que analizando las tres propuestas le parece mejor la que presenta Consorcio </w:t>
      </w:r>
      <w:proofErr w:type="spellStart"/>
      <w:r>
        <w:rPr>
          <w:rFonts w:ascii="Arial" w:hAnsi="Arial"/>
          <w:sz w:val="22"/>
        </w:rPr>
        <w:t>Urebia</w:t>
      </w:r>
      <w:proofErr w:type="spellEnd"/>
      <w:r>
        <w:rPr>
          <w:rFonts w:ascii="Arial" w:hAnsi="Arial"/>
          <w:sz w:val="22"/>
        </w:rPr>
        <w:t xml:space="preserve">, S. A de C. V. 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Pr="00C37AB9" w:rsidRDefault="0020599C" w:rsidP="0020599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El Mtro. José Luis Salazar Martínez solicita la votación de los miembros del Comité de Adquisiciones para adjudicar al proveedor </w:t>
      </w:r>
      <w:r w:rsidR="008E362B">
        <w:rPr>
          <w:rFonts w:ascii="Arial" w:hAnsi="Arial"/>
          <w:b/>
          <w:sz w:val="22"/>
        </w:rPr>
        <w:t xml:space="preserve">Consorcio </w:t>
      </w:r>
      <w:proofErr w:type="spellStart"/>
      <w:r w:rsidR="008E362B">
        <w:rPr>
          <w:rFonts w:ascii="Arial" w:hAnsi="Arial"/>
          <w:b/>
          <w:sz w:val="22"/>
        </w:rPr>
        <w:t>Urebia</w:t>
      </w:r>
      <w:proofErr w:type="spellEnd"/>
      <w:r w:rsidR="008E362B"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b/>
          <w:sz w:val="22"/>
        </w:rPr>
        <w:t>S. A. de C. V.</w:t>
      </w:r>
      <w:r>
        <w:rPr>
          <w:rFonts w:ascii="Arial" w:hAnsi="Arial"/>
          <w:sz w:val="22"/>
        </w:rPr>
        <w:t xml:space="preserve"> en virtud ofrecer el mejor precio, las mejores condiciones de pago, de entrega y por cumplir con todos los requisitos solicitados en las bases, lo cual es aprobado por </w:t>
      </w:r>
      <w:r w:rsidR="00F62109">
        <w:rPr>
          <w:rFonts w:ascii="Arial" w:hAnsi="Arial"/>
          <w:sz w:val="22"/>
        </w:rPr>
        <w:t>unanimidad</w:t>
      </w:r>
      <w:r>
        <w:rPr>
          <w:rFonts w:ascii="Arial" w:hAnsi="Arial"/>
          <w:b/>
          <w:sz w:val="22"/>
        </w:rPr>
        <w:t>.</w:t>
      </w:r>
    </w:p>
    <w:p w:rsidR="0020599C" w:rsidRPr="009C7AFB" w:rsidRDefault="0020599C" w:rsidP="0020599C">
      <w:pPr>
        <w:jc w:val="both"/>
        <w:rPr>
          <w:rFonts w:ascii="Arial" w:hAnsi="Arial"/>
          <w:sz w:val="22"/>
        </w:rPr>
      </w:pPr>
    </w:p>
    <w:p w:rsidR="0020599C" w:rsidRPr="00EC7AF9" w:rsidRDefault="0020599C" w:rsidP="0020599C">
      <w:pPr>
        <w:jc w:val="both"/>
        <w:rPr>
          <w:rFonts w:ascii="Arial" w:hAnsi="Arial"/>
          <w:sz w:val="22"/>
        </w:rPr>
      </w:pPr>
    </w:p>
    <w:p w:rsidR="0020599C" w:rsidRDefault="003449F3" w:rsidP="0020599C">
      <w:pPr>
        <w:pStyle w:val="Ttulo1"/>
      </w:pPr>
      <w:r>
        <w:t>PUNTO No. 7</w:t>
      </w:r>
    </w:p>
    <w:p w:rsidR="0020599C" w:rsidRDefault="0020599C" w:rsidP="0020599C">
      <w:pPr>
        <w:jc w:val="both"/>
        <w:rPr>
          <w:rFonts w:ascii="Arial" w:hAnsi="Arial"/>
          <w:b/>
          <w:sz w:val="22"/>
        </w:rPr>
      </w:pPr>
    </w:p>
    <w:p w:rsidR="0020599C" w:rsidRPr="00C37AB9" w:rsidRDefault="0020599C" w:rsidP="0020599C">
      <w:pPr>
        <w:jc w:val="both"/>
        <w:rPr>
          <w:rFonts w:ascii="Arial" w:hAnsi="Arial"/>
          <w:b/>
          <w:sz w:val="22"/>
        </w:rPr>
      </w:pPr>
      <w:r w:rsidRPr="00C37AB9">
        <w:rPr>
          <w:rFonts w:ascii="Arial" w:hAnsi="Arial"/>
          <w:b/>
          <w:sz w:val="22"/>
        </w:rPr>
        <w:t>ASUNTOS VARIOS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habiendo ningún asunto que desahogar se procede al siguiente punto del orden del </w:t>
      </w:r>
      <w:r w:rsidR="003449F3">
        <w:rPr>
          <w:rFonts w:ascii="Arial" w:hAnsi="Arial"/>
          <w:sz w:val="22"/>
        </w:rPr>
        <w:t>día</w:t>
      </w:r>
      <w:r>
        <w:rPr>
          <w:rFonts w:ascii="Arial" w:hAnsi="Arial"/>
          <w:sz w:val="22"/>
        </w:rPr>
        <w:t>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Sin más asuntos que tratar, se dio por terminada la sesión, siendo las 10:4</w:t>
      </w:r>
      <w:r w:rsidR="008E362B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diez horas con cuarenta y </w:t>
      </w:r>
      <w:r w:rsidR="008E362B">
        <w:rPr>
          <w:rFonts w:ascii="Arial" w:hAnsi="Arial"/>
          <w:sz w:val="22"/>
        </w:rPr>
        <w:t>dos</w:t>
      </w:r>
      <w:r>
        <w:rPr>
          <w:rFonts w:ascii="Arial" w:hAnsi="Arial"/>
          <w:sz w:val="22"/>
        </w:rPr>
        <w:t xml:space="preserve"> minutos, firmando la presente acta los que en ella intervinieron.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p w:rsidR="0020599C" w:rsidRDefault="0020599C" w:rsidP="0020599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San Pedro Tlaquepaque, Jalisco, a 07 de Febrero de 2018.</w:t>
      </w:r>
    </w:p>
    <w:p w:rsidR="0020599C" w:rsidRDefault="0020599C" w:rsidP="0020599C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0599C" w:rsidRPr="00575A64" w:rsidTr="002A31CB">
        <w:trPr>
          <w:trHeight w:val="1825"/>
        </w:trPr>
        <w:tc>
          <w:tcPr>
            <w:tcW w:w="4489" w:type="dxa"/>
            <w:vAlign w:val="bottom"/>
          </w:tcPr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</w:t>
            </w:r>
            <w:r w:rsidRPr="00575A64">
              <w:rPr>
                <w:rFonts w:ascii="Arial" w:hAnsi="Arial"/>
                <w:b/>
                <w:sz w:val="22"/>
              </w:rPr>
              <w:t xml:space="preserve">ic. </w:t>
            </w:r>
            <w:r>
              <w:rPr>
                <w:rFonts w:ascii="Arial" w:hAnsi="Arial"/>
                <w:b/>
                <w:sz w:val="22"/>
              </w:rPr>
              <w:t>José Luis Salazar Martínez</w:t>
            </w:r>
            <w:r w:rsidRPr="00575A64">
              <w:rPr>
                <w:rFonts w:ascii="Arial" w:hAnsi="Arial"/>
                <w:b/>
                <w:sz w:val="22"/>
              </w:rPr>
              <w:t xml:space="preserve"> </w:t>
            </w:r>
          </w:p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 w:rsidRPr="00575A64">
              <w:rPr>
                <w:rFonts w:ascii="Arial" w:hAnsi="Arial"/>
                <w:b/>
                <w:sz w:val="22"/>
              </w:rPr>
              <w:t xml:space="preserve">En representación </w:t>
            </w:r>
            <w:r>
              <w:rPr>
                <w:rFonts w:ascii="Arial" w:hAnsi="Arial"/>
                <w:b/>
                <w:sz w:val="22"/>
              </w:rPr>
              <w:t>de la C. María Elena Limón García, Presidente</w:t>
            </w:r>
            <w:r w:rsidRPr="00575A64">
              <w:rPr>
                <w:rFonts w:ascii="Arial" w:hAnsi="Arial"/>
                <w:b/>
                <w:sz w:val="22"/>
              </w:rPr>
              <w:t xml:space="preserve"> de</w:t>
            </w:r>
            <w:r>
              <w:rPr>
                <w:rFonts w:ascii="Arial" w:hAnsi="Arial"/>
                <w:b/>
                <w:sz w:val="22"/>
              </w:rPr>
              <w:t xml:space="preserve">l Comité </w:t>
            </w:r>
            <w:r w:rsidRPr="00575A64">
              <w:rPr>
                <w:rFonts w:ascii="Arial" w:hAnsi="Arial"/>
                <w:b/>
                <w:sz w:val="22"/>
              </w:rPr>
              <w:t>de Adquisiciones</w:t>
            </w:r>
          </w:p>
        </w:tc>
        <w:tc>
          <w:tcPr>
            <w:tcW w:w="4489" w:type="dxa"/>
            <w:vAlign w:val="bottom"/>
          </w:tcPr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20599C" w:rsidRPr="00575A64" w:rsidTr="002A31CB">
        <w:trPr>
          <w:trHeight w:val="1825"/>
        </w:trPr>
        <w:tc>
          <w:tcPr>
            <w:tcW w:w="4489" w:type="dxa"/>
            <w:vAlign w:val="bottom"/>
          </w:tcPr>
          <w:p w:rsidR="0020599C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Dr. Carlos Raúl Magaña Ramírez</w:t>
            </w:r>
          </w:p>
          <w:p w:rsidR="0020599C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Vocal Suplente Representante de la</w:t>
            </w:r>
          </w:p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Contraloría Municipal</w:t>
            </w:r>
          </w:p>
        </w:tc>
        <w:tc>
          <w:tcPr>
            <w:tcW w:w="4489" w:type="dxa"/>
            <w:vAlign w:val="bottom"/>
          </w:tcPr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20599C" w:rsidRPr="00575A64" w:rsidTr="002A31CB">
        <w:trPr>
          <w:trHeight w:val="1825"/>
        </w:trPr>
        <w:tc>
          <w:tcPr>
            <w:tcW w:w="4489" w:type="dxa"/>
            <w:vAlign w:val="bottom"/>
          </w:tcPr>
          <w:p w:rsidR="0020599C" w:rsidRPr="00F1052D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 w:rsidRPr="00F1052D">
              <w:rPr>
                <w:rFonts w:ascii="Arial" w:hAnsi="Arial"/>
                <w:b/>
                <w:sz w:val="22"/>
              </w:rPr>
              <w:lastRenderedPageBreak/>
              <w:t xml:space="preserve">Lic. </w:t>
            </w:r>
            <w:r>
              <w:rPr>
                <w:rFonts w:ascii="Arial" w:hAnsi="Arial"/>
                <w:b/>
                <w:sz w:val="22"/>
              </w:rPr>
              <w:t>Cynthia Liliana Hernández Ibarra, Secretaria Ejecutiva del Comité de Adquisiciones</w:t>
            </w:r>
          </w:p>
        </w:tc>
        <w:tc>
          <w:tcPr>
            <w:tcW w:w="4489" w:type="dxa"/>
            <w:vAlign w:val="bottom"/>
          </w:tcPr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20599C" w:rsidRDefault="0020599C" w:rsidP="0020599C">
      <w:pPr>
        <w:jc w:val="both"/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0599C" w:rsidRPr="00575A64" w:rsidTr="002A31CB">
        <w:trPr>
          <w:trHeight w:val="1825"/>
        </w:trPr>
        <w:tc>
          <w:tcPr>
            <w:tcW w:w="4489" w:type="dxa"/>
            <w:vAlign w:val="bottom"/>
          </w:tcPr>
          <w:p w:rsidR="0020599C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Lic. Rafael Lara López,</w:t>
            </w:r>
          </w:p>
          <w:p w:rsidR="0020599C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Representante de la CANACO </w:t>
            </w:r>
          </w:p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Tlaquepaque</w:t>
            </w:r>
          </w:p>
        </w:tc>
        <w:tc>
          <w:tcPr>
            <w:tcW w:w="4489" w:type="dxa"/>
            <w:vAlign w:val="bottom"/>
          </w:tcPr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  <w:tr w:rsidR="0020599C" w:rsidRPr="00575A64" w:rsidTr="002A31CB">
        <w:trPr>
          <w:trHeight w:val="1825"/>
        </w:trPr>
        <w:tc>
          <w:tcPr>
            <w:tcW w:w="4489" w:type="dxa"/>
            <w:vAlign w:val="bottom"/>
          </w:tcPr>
          <w:p w:rsidR="00E97F55" w:rsidRDefault="00E97F55" w:rsidP="00E97F5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L.R.I. Andrés Álvarez Maxemín</w:t>
            </w:r>
            <w:bookmarkStart w:id="0" w:name="_GoBack"/>
            <w:bookmarkEnd w:id="0"/>
          </w:p>
          <w:p w:rsidR="0020599C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Representante del Consejo Coordinador</w:t>
            </w:r>
          </w:p>
          <w:p w:rsidR="0020599C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 Jóvenes Empresarios del Estado del</w:t>
            </w:r>
          </w:p>
          <w:p w:rsidR="0020599C" w:rsidRPr="00F1052D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Estado de Jalisco.</w:t>
            </w:r>
          </w:p>
        </w:tc>
        <w:tc>
          <w:tcPr>
            <w:tcW w:w="4489" w:type="dxa"/>
            <w:vAlign w:val="bottom"/>
          </w:tcPr>
          <w:p w:rsidR="0020599C" w:rsidRPr="00575A64" w:rsidRDefault="0020599C" w:rsidP="002A31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___________________________________</w:t>
            </w:r>
          </w:p>
        </w:tc>
      </w:tr>
    </w:tbl>
    <w:p w:rsidR="0020599C" w:rsidRDefault="0020599C" w:rsidP="0020599C">
      <w:pPr>
        <w:jc w:val="both"/>
        <w:rPr>
          <w:rFonts w:ascii="Arial" w:hAnsi="Arial"/>
          <w:lang w:val="es-MX"/>
        </w:rPr>
      </w:pPr>
    </w:p>
    <w:p w:rsidR="001D0675" w:rsidRPr="004A3B02" w:rsidRDefault="001D0675" w:rsidP="0020599C">
      <w:pPr>
        <w:autoSpaceDE w:val="0"/>
        <w:autoSpaceDN w:val="0"/>
        <w:adjustRightInd w:val="0"/>
        <w:spacing w:before="100"/>
        <w:jc w:val="center"/>
        <w:rPr>
          <w:b/>
          <w:lang w:val="es-MX"/>
        </w:rPr>
      </w:pPr>
    </w:p>
    <w:sectPr w:rsidR="001D0675" w:rsidRPr="004A3B02" w:rsidSect="001D0675">
      <w:headerReference w:type="default" r:id="rId9"/>
      <w:footerReference w:type="default" r:id="rId10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7E" w:rsidRDefault="00CE7B7E" w:rsidP="00966270">
      <w:r>
        <w:separator/>
      </w:r>
    </w:p>
  </w:endnote>
  <w:endnote w:type="continuationSeparator" w:id="0">
    <w:p w:rsidR="00CE7B7E" w:rsidRDefault="00CE7B7E" w:rsidP="009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B7" w:rsidRDefault="001D0675">
    <w:pPr>
      <w:pStyle w:val="Piedepgina"/>
    </w:pPr>
    <w:r w:rsidRPr="00753799">
      <w:rPr>
        <w:noProof/>
      </w:rPr>
      <w:drawing>
        <wp:anchor distT="0" distB="0" distL="114300" distR="114300" simplePos="0" relativeHeight="251661312" behindDoc="1" locked="0" layoutInCell="1" allowOverlap="1" wp14:anchorId="22253688" wp14:editId="08A9BC8D">
          <wp:simplePos x="0" y="0"/>
          <wp:positionH relativeFrom="column">
            <wp:posOffset>-219075</wp:posOffset>
          </wp:positionH>
          <wp:positionV relativeFrom="paragraph">
            <wp:posOffset>382905</wp:posOffset>
          </wp:positionV>
          <wp:extent cx="1981200" cy="723900"/>
          <wp:effectExtent l="0" t="0" r="0" b="0"/>
          <wp:wrapNone/>
          <wp:docPr id="11" name="Imagen 11" descr="Resultado de imagen para TLAQUEPAQUE.GOB.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LAQUEPAQUE.GOB.MX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96" r="71728"/>
                  <a:stretch/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5408" behindDoc="1" locked="0" layoutInCell="1" allowOverlap="1" wp14:anchorId="72B32916" wp14:editId="5E3C3637">
          <wp:simplePos x="0" y="0"/>
          <wp:positionH relativeFrom="column">
            <wp:posOffset>5936615</wp:posOffset>
          </wp:positionH>
          <wp:positionV relativeFrom="paragraph">
            <wp:posOffset>615315</wp:posOffset>
          </wp:positionV>
          <wp:extent cx="847725" cy="247650"/>
          <wp:effectExtent l="0" t="0" r="9525" b="0"/>
          <wp:wrapNone/>
          <wp:docPr id="13" name="Imagen 13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09" t="70068" r="19048" b="12245"/>
                  <a:stretch/>
                </pic:blipFill>
                <pic:spPr bwMode="auto">
                  <a:xfrm>
                    <a:off x="0" y="0"/>
                    <a:ext cx="847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EA3"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46F8B452" wp14:editId="4E2A8D8C">
          <wp:simplePos x="0" y="0"/>
          <wp:positionH relativeFrom="column">
            <wp:posOffset>5288915</wp:posOffset>
          </wp:positionH>
          <wp:positionV relativeFrom="paragraph">
            <wp:posOffset>308610</wp:posOffset>
          </wp:positionV>
          <wp:extent cx="542925" cy="800100"/>
          <wp:effectExtent l="0" t="0" r="9525" b="0"/>
          <wp:wrapNone/>
          <wp:docPr id="12" name="Imagen 12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12" t="12925" r="30612" b="29932"/>
                  <a:stretch/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5B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512F1" wp14:editId="793494A5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615B7" w:rsidRPr="00BE3BCD" w:rsidRDefault="00D615B7" w:rsidP="00B15C2B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-23.25pt;margin-top:97.2pt;width:579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" fillcolor="#7f7f7f [1612]" strokecolor="#243f60 [1604]" strokeweight="2pt">
              <v:textbox>
                <w:txbxContent>
                  <w:p w:rsidR="00D615B7" w:rsidRPr="00BE3BCD" w:rsidRDefault="00D615B7" w:rsidP="00B15C2B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7E" w:rsidRDefault="00CE7B7E" w:rsidP="00966270">
      <w:r>
        <w:separator/>
      </w:r>
    </w:p>
  </w:footnote>
  <w:footnote w:type="continuationSeparator" w:id="0">
    <w:p w:rsidR="00CE7B7E" w:rsidRDefault="00CE7B7E" w:rsidP="0096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6F" w:rsidRDefault="00007B6F" w:rsidP="00007B6F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 wp14:anchorId="08ED131B" wp14:editId="0A02A29E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4" name="Imagen 14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B6F" w:rsidRDefault="00007B6F" w:rsidP="00007B6F">
    <w:pPr>
      <w:ind w:left="708" w:firstLine="708"/>
      <w:rPr>
        <w:b/>
        <w:color w:val="808080" w:themeColor="background1" w:themeShade="80"/>
        <w:lang w:val="es-MX"/>
      </w:rPr>
    </w:pPr>
  </w:p>
  <w:p w:rsidR="00007B6F" w:rsidRDefault="00007B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0"/>
    <w:rsid w:val="00007B6F"/>
    <w:rsid w:val="00017661"/>
    <w:rsid w:val="000211F7"/>
    <w:rsid w:val="00066ACA"/>
    <w:rsid w:val="000E2176"/>
    <w:rsid w:val="00110076"/>
    <w:rsid w:val="00182BB0"/>
    <w:rsid w:val="00190B3B"/>
    <w:rsid w:val="001C0D12"/>
    <w:rsid w:val="001D0675"/>
    <w:rsid w:val="001E2E72"/>
    <w:rsid w:val="001E7102"/>
    <w:rsid w:val="00203D6A"/>
    <w:rsid w:val="0020599C"/>
    <w:rsid w:val="0027290F"/>
    <w:rsid w:val="002A7CC7"/>
    <w:rsid w:val="003036FE"/>
    <w:rsid w:val="0031432C"/>
    <w:rsid w:val="00314C52"/>
    <w:rsid w:val="003249E7"/>
    <w:rsid w:val="003449F3"/>
    <w:rsid w:val="00345EA3"/>
    <w:rsid w:val="003721D4"/>
    <w:rsid w:val="003B3E14"/>
    <w:rsid w:val="00414682"/>
    <w:rsid w:val="00461C42"/>
    <w:rsid w:val="00464003"/>
    <w:rsid w:val="004876E4"/>
    <w:rsid w:val="004A3B02"/>
    <w:rsid w:val="004B2727"/>
    <w:rsid w:val="004E62C4"/>
    <w:rsid w:val="00505986"/>
    <w:rsid w:val="0053249A"/>
    <w:rsid w:val="005B7CD0"/>
    <w:rsid w:val="005F4CD4"/>
    <w:rsid w:val="0065091A"/>
    <w:rsid w:val="006623D9"/>
    <w:rsid w:val="00662995"/>
    <w:rsid w:val="00674E71"/>
    <w:rsid w:val="00684DE3"/>
    <w:rsid w:val="006C2E79"/>
    <w:rsid w:val="007217DE"/>
    <w:rsid w:val="007422F7"/>
    <w:rsid w:val="00753799"/>
    <w:rsid w:val="00765718"/>
    <w:rsid w:val="0077008D"/>
    <w:rsid w:val="007B162E"/>
    <w:rsid w:val="007E2F9D"/>
    <w:rsid w:val="007F2496"/>
    <w:rsid w:val="007F3C3F"/>
    <w:rsid w:val="00844CF8"/>
    <w:rsid w:val="008610D8"/>
    <w:rsid w:val="00867632"/>
    <w:rsid w:val="008E362B"/>
    <w:rsid w:val="00966270"/>
    <w:rsid w:val="00983B0B"/>
    <w:rsid w:val="00986789"/>
    <w:rsid w:val="00987A15"/>
    <w:rsid w:val="009C3F1E"/>
    <w:rsid w:val="009D248E"/>
    <w:rsid w:val="009F3C52"/>
    <w:rsid w:val="00A11FF4"/>
    <w:rsid w:val="00A5511C"/>
    <w:rsid w:val="00A90643"/>
    <w:rsid w:val="00AA32DD"/>
    <w:rsid w:val="00AA6F61"/>
    <w:rsid w:val="00AD2822"/>
    <w:rsid w:val="00B110E0"/>
    <w:rsid w:val="00B15C2B"/>
    <w:rsid w:val="00B43382"/>
    <w:rsid w:val="00B53725"/>
    <w:rsid w:val="00BA3751"/>
    <w:rsid w:val="00BD6DC4"/>
    <w:rsid w:val="00BE3BCD"/>
    <w:rsid w:val="00BE6716"/>
    <w:rsid w:val="00BF2130"/>
    <w:rsid w:val="00C0071D"/>
    <w:rsid w:val="00C306E4"/>
    <w:rsid w:val="00C632E1"/>
    <w:rsid w:val="00C92EA2"/>
    <w:rsid w:val="00CC1518"/>
    <w:rsid w:val="00CD6197"/>
    <w:rsid w:val="00CE7B7E"/>
    <w:rsid w:val="00D2545F"/>
    <w:rsid w:val="00D615B7"/>
    <w:rsid w:val="00D80BE3"/>
    <w:rsid w:val="00D83573"/>
    <w:rsid w:val="00D83C3B"/>
    <w:rsid w:val="00DA51F0"/>
    <w:rsid w:val="00DB0140"/>
    <w:rsid w:val="00DC4C5D"/>
    <w:rsid w:val="00E07B78"/>
    <w:rsid w:val="00E1754D"/>
    <w:rsid w:val="00E66139"/>
    <w:rsid w:val="00E97166"/>
    <w:rsid w:val="00E97F55"/>
    <w:rsid w:val="00EB65EE"/>
    <w:rsid w:val="00ED3D8F"/>
    <w:rsid w:val="00EE1E90"/>
    <w:rsid w:val="00EF0203"/>
    <w:rsid w:val="00EF7E10"/>
    <w:rsid w:val="00F23EC3"/>
    <w:rsid w:val="00F44037"/>
    <w:rsid w:val="00F44D70"/>
    <w:rsid w:val="00F46CC6"/>
    <w:rsid w:val="00F62109"/>
    <w:rsid w:val="00F7092D"/>
    <w:rsid w:val="00FD295A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599C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0599C"/>
    <w:rPr>
      <w:rFonts w:ascii="Arial" w:eastAsia="Times New Roman" w:hAnsi="Arial" w:cs="Times New Roman"/>
      <w:b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5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599C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270"/>
  </w:style>
  <w:style w:type="paragraph" w:styleId="Piedepgina">
    <w:name w:val="footer"/>
    <w:basedOn w:val="Normal"/>
    <w:link w:val="PiedepginaCar"/>
    <w:uiPriority w:val="99"/>
    <w:unhideWhenUsed/>
    <w:rsid w:val="009662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270"/>
  </w:style>
  <w:style w:type="paragraph" w:styleId="Sinespaciado">
    <w:name w:val="No Spacing"/>
    <w:link w:val="SinespaciadoCar"/>
    <w:uiPriority w:val="1"/>
    <w:qFormat/>
    <w:rsid w:val="00D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4C5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C4C5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0599C"/>
    <w:rPr>
      <w:rFonts w:ascii="Arial" w:eastAsia="Times New Roman" w:hAnsi="Arial" w:cs="Times New Roman"/>
      <w:b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05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1D87-D44E-41B9-843A-1215123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Mares Zamora</dc:creator>
  <cp:lastModifiedBy>Ricardo Mares Zamora</cp:lastModifiedBy>
  <cp:revision>27</cp:revision>
  <cp:lastPrinted>2018-02-09T19:04:00Z</cp:lastPrinted>
  <dcterms:created xsi:type="dcterms:W3CDTF">2018-02-07T20:31:00Z</dcterms:created>
  <dcterms:modified xsi:type="dcterms:W3CDTF">2018-02-12T19:17:00Z</dcterms:modified>
</cp:coreProperties>
</file>