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A9" w:rsidRPr="003C230C" w:rsidRDefault="00D438A9" w:rsidP="00D438A9">
      <w:pPr>
        <w:spacing w:after="120" w:line="320" w:lineRule="exact"/>
        <w:ind w:right="51"/>
        <w:jc w:val="center"/>
        <w:rPr>
          <w:rFonts w:ascii="Arial" w:hAnsi="Arial" w:cs="Arial"/>
          <w:b/>
          <w:iCs/>
          <w:color w:val="262626" w:themeColor="text1" w:themeTint="D9"/>
        </w:rPr>
      </w:pPr>
      <w:bookmarkStart w:id="0" w:name="_GoBack"/>
      <w:bookmarkEnd w:id="0"/>
      <w:r w:rsidRPr="003C230C">
        <w:rPr>
          <w:rFonts w:ascii="Arial" w:hAnsi="Arial" w:cs="Arial"/>
          <w:b/>
          <w:iCs/>
          <w:color w:val="262626" w:themeColor="text1" w:themeTint="D9"/>
        </w:rPr>
        <w:t xml:space="preserve">Formato del Anexo </w:t>
      </w:r>
      <w:r>
        <w:rPr>
          <w:rFonts w:ascii="Arial" w:hAnsi="Arial" w:cs="Arial"/>
          <w:b/>
          <w:iCs/>
          <w:color w:val="262626" w:themeColor="text1" w:themeTint="D9"/>
        </w:rPr>
        <w:t>5</w:t>
      </w:r>
      <w:r w:rsidRPr="003C230C">
        <w:rPr>
          <w:rFonts w:ascii="Arial" w:hAnsi="Arial" w:cs="Arial"/>
          <w:b/>
          <w:iCs/>
          <w:color w:val="262626" w:themeColor="text1" w:themeTint="D9"/>
        </w:rPr>
        <w:t xml:space="preserve"> “Valoración Final del programa”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6286"/>
      </w:tblGrid>
      <w:tr w:rsidR="00D438A9" w:rsidRPr="003C230C" w:rsidTr="00364371">
        <w:trPr>
          <w:trHeight w:val="300"/>
        </w:trPr>
        <w:tc>
          <w:tcPr>
            <w:tcW w:w="191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Programa:</w:t>
            </w:r>
          </w:p>
        </w:tc>
        <w:tc>
          <w:tcPr>
            <w:tcW w:w="3090" w:type="pct"/>
          </w:tcPr>
          <w:p w:rsidR="00D438A9" w:rsidRPr="00D438A9" w:rsidRDefault="00B866F4" w:rsidP="00B866F4">
            <w:pPr>
              <w:tabs>
                <w:tab w:val="left" w:pos="1384"/>
              </w:tabs>
              <w:spacing w:after="120" w:line="320" w:lineRule="exact"/>
              <w:jc w:val="both"/>
              <w:rPr>
                <w:rFonts w:ascii="Arial" w:eastAsia="Times" w:hAnsi="Arial" w:cs="Arial"/>
                <w:b/>
                <w:color w:val="262626" w:themeColor="text1" w:themeTint="D9"/>
              </w:rPr>
            </w:pPr>
            <w:r>
              <w:rPr>
                <w:rFonts w:ascii="Arial" w:eastAsia="Times" w:hAnsi="Arial" w:cs="Arial"/>
                <w:b/>
                <w:color w:val="262626" w:themeColor="text1" w:themeTint="D9"/>
              </w:rPr>
              <w:tab/>
              <w:t>Te queremos Listo, Mochilas con Útiles</w:t>
            </w:r>
          </w:p>
        </w:tc>
      </w:tr>
      <w:tr w:rsidR="00D438A9" w:rsidRPr="003C230C" w:rsidTr="00364371">
        <w:trPr>
          <w:trHeight w:val="300"/>
        </w:trPr>
        <w:tc>
          <w:tcPr>
            <w:tcW w:w="191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Dependencia/Entidad:</w:t>
            </w:r>
          </w:p>
        </w:tc>
        <w:tc>
          <w:tcPr>
            <w:tcW w:w="3090" w:type="pct"/>
          </w:tcPr>
          <w:p w:rsidR="00B866F4" w:rsidRPr="00E85E8F" w:rsidRDefault="00B866F4" w:rsidP="00E85E8F">
            <w:pPr>
              <w:spacing w:after="120" w:line="320" w:lineRule="exact"/>
              <w:jc w:val="both"/>
              <w:rPr>
                <w:rFonts w:ascii="Arial" w:eastAsia="Times" w:hAnsi="Arial" w:cs="Arial"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Jefatura de Vinculación Social</w:t>
            </w:r>
          </w:p>
        </w:tc>
      </w:tr>
      <w:tr w:rsidR="00D438A9" w:rsidRPr="003C230C" w:rsidTr="00364371">
        <w:trPr>
          <w:trHeight w:val="300"/>
        </w:trPr>
        <w:tc>
          <w:tcPr>
            <w:tcW w:w="191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Unidad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Administrativa </w:t>
            </w: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Responsable:</w:t>
            </w:r>
          </w:p>
        </w:tc>
        <w:tc>
          <w:tcPr>
            <w:tcW w:w="3090" w:type="pct"/>
          </w:tcPr>
          <w:p w:rsidR="00D438A9" w:rsidRPr="003C230C" w:rsidRDefault="00E85E8F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Coordinación de Programas Sociales.</w:t>
            </w:r>
          </w:p>
        </w:tc>
      </w:tr>
      <w:tr w:rsidR="00D438A9" w:rsidRPr="003C230C" w:rsidTr="00364371">
        <w:trPr>
          <w:trHeight w:val="300"/>
        </w:trPr>
        <w:tc>
          <w:tcPr>
            <w:tcW w:w="191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Tipo de Evaluación:</w:t>
            </w:r>
          </w:p>
        </w:tc>
        <w:tc>
          <w:tcPr>
            <w:tcW w:w="3090" w:type="pct"/>
          </w:tcPr>
          <w:p w:rsidR="00D438A9" w:rsidRPr="00F63192" w:rsidRDefault="00E85E8F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 w:rsidRPr="00F63192">
              <w:rPr>
                <w:rFonts w:ascii="Arial" w:hAnsi="Arial" w:cs="Arial"/>
                <w:bCs/>
                <w:color w:val="262626" w:themeColor="text1" w:themeTint="D9"/>
              </w:rPr>
              <w:t>De Consistencia y Resultados</w:t>
            </w:r>
          </w:p>
        </w:tc>
      </w:tr>
      <w:tr w:rsidR="00D438A9" w:rsidRPr="003C230C" w:rsidTr="00364371">
        <w:trPr>
          <w:trHeight w:val="300"/>
        </w:trPr>
        <w:tc>
          <w:tcPr>
            <w:tcW w:w="191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Año de la Evaluación:</w:t>
            </w:r>
          </w:p>
        </w:tc>
        <w:tc>
          <w:tcPr>
            <w:tcW w:w="3090" w:type="pct"/>
          </w:tcPr>
          <w:p w:rsidR="00D438A9" w:rsidRPr="00F63192" w:rsidRDefault="004B7CA5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2017</w:t>
            </w:r>
          </w:p>
        </w:tc>
      </w:tr>
    </w:tbl>
    <w:tbl>
      <w:tblPr>
        <w:tblpPr w:leftFromText="141" w:rightFromText="141" w:vertAnchor="text" w:tblpY="220"/>
        <w:tblW w:w="50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842"/>
        <w:gridCol w:w="6728"/>
      </w:tblGrid>
      <w:tr w:rsidR="00364371" w:rsidRPr="003C230C" w:rsidTr="00364371">
        <w:trPr>
          <w:trHeight w:val="67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:rsidR="00364371" w:rsidRPr="003C230C" w:rsidRDefault="00364371" w:rsidP="003643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64371" w:rsidRPr="003C230C" w:rsidRDefault="00364371" w:rsidP="003643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Nivel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promedio por tema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64371" w:rsidRPr="00EF726C" w:rsidRDefault="00364371" w:rsidP="003643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Justificación </w:t>
            </w:r>
          </w:p>
        </w:tc>
      </w:tr>
      <w:tr w:rsidR="00364371" w:rsidRPr="003C230C" w:rsidTr="00364371">
        <w:trPr>
          <w:trHeight w:val="116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64371" w:rsidRPr="003C230C" w:rsidRDefault="00364371" w:rsidP="0036437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3,4,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>2,0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=9/16 11.25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>%</w:t>
            </w:r>
          </w:p>
          <w:p w:rsidR="00364371" w:rsidRPr="003C230C" w:rsidRDefault="00364371" w:rsidP="003F43A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3=7.5</w:t>
            </w:r>
            <w:r w:rsidR="003F43AC">
              <w:rPr>
                <w:rFonts w:ascii="Arial" w:hAnsi="Arial" w:cs="Arial"/>
                <w:color w:val="262626" w:themeColor="text1" w:themeTint="D9"/>
              </w:rPr>
              <w:t xml:space="preserve">% 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Pr="00144413" w:rsidRDefault="00364371" w:rsidP="0041385E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44413">
              <w:rPr>
                <w:rFonts w:ascii="Arial" w:hAnsi="Arial" w:cs="Arial"/>
                <w:color w:val="262626" w:themeColor="text1" w:themeTint="D9"/>
              </w:rPr>
              <w:t>Es necesario mejorar el diagnóstico inicial</w:t>
            </w:r>
            <w:r w:rsidR="002E2726">
              <w:rPr>
                <w:rFonts w:ascii="Arial" w:hAnsi="Arial" w:cs="Arial"/>
                <w:color w:val="262626" w:themeColor="text1" w:themeTint="D9"/>
              </w:rPr>
              <w:t>, contemplando el dato de benefic</w:t>
            </w:r>
            <w:r w:rsidR="0041385E">
              <w:rPr>
                <w:rFonts w:ascii="Arial" w:hAnsi="Arial" w:cs="Arial"/>
                <w:color w:val="262626" w:themeColor="text1" w:themeTint="D9"/>
              </w:rPr>
              <w:t>iarios por período del programa.</w:t>
            </w:r>
          </w:p>
        </w:tc>
      </w:tr>
      <w:tr w:rsidR="00364371" w:rsidRPr="003C230C" w:rsidTr="0041385E">
        <w:trPr>
          <w:trHeight w:val="130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64371" w:rsidRPr="003C230C" w:rsidRDefault="00364371" w:rsidP="004138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Planeación y Orientación a Resultados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71" w:rsidRDefault="00364371" w:rsidP="0041385E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3,1,4= 8/12</w:t>
            </w:r>
          </w:p>
          <w:p w:rsidR="00364371" w:rsidRPr="003C230C" w:rsidRDefault="00364371" w:rsidP="0041385E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20%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71" w:rsidRPr="00144413" w:rsidRDefault="00364371" w:rsidP="0041385E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44413">
              <w:rPr>
                <w:rFonts w:ascii="Arial" w:hAnsi="Arial" w:cs="Arial"/>
                <w:color w:val="262626" w:themeColor="text1" w:themeTint="D9"/>
              </w:rPr>
              <w:t>Es necesario trabajar el plan estratégico del área responsable del programa para que las fechas coincidan y aparezcan en los documentos oficiales</w:t>
            </w:r>
            <w:r w:rsidR="0041385E">
              <w:rPr>
                <w:rFonts w:ascii="Arial" w:hAnsi="Arial" w:cs="Arial"/>
                <w:color w:val="262626" w:themeColor="text1" w:themeTint="D9"/>
              </w:rPr>
              <w:t>.</w:t>
            </w:r>
          </w:p>
          <w:p w:rsidR="00364371" w:rsidRDefault="00364371" w:rsidP="0041385E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1385E" w:rsidRPr="00144413" w:rsidRDefault="0041385E" w:rsidP="0041385E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64371" w:rsidRPr="003C230C" w:rsidTr="00364371">
        <w:trPr>
          <w:trHeight w:val="11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64371" w:rsidRPr="003C230C" w:rsidRDefault="00364371" w:rsidP="003643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Cobertura y Focalización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71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3=3/4</w:t>
            </w:r>
          </w:p>
          <w:p w:rsidR="00364371" w:rsidRPr="003C230C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7.5%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71" w:rsidRPr="00144413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44413">
              <w:rPr>
                <w:rFonts w:ascii="Arial" w:hAnsi="Arial" w:cs="Arial"/>
                <w:color w:val="262626" w:themeColor="text1" w:themeTint="D9"/>
              </w:rPr>
              <w:t>El programa no cuenta con las herramientas que le permiten monitorear la cobertura de su población objetivo actual, por lo que es necesario concentrar la información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en una base de datos confiable.</w:t>
            </w:r>
          </w:p>
        </w:tc>
      </w:tr>
      <w:tr w:rsidR="00364371" w:rsidRPr="003C230C" w:rsidTr="00364371">
        <w:trPr>
          <w:trHeight w:val="10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64371" w:rsidRPr="003C230C" w:rsidRDefault="00364371" w:rsidP="0036437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Operación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3,2,2,1=8/16</w:t>
            </w:r>
          </w:p>
          <w:p w:rsidR="00364371" w:rsidRPr="003C230C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10%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Pr="00144413" w:rsidRDefault="00364371" w:rsidP="0041385E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44413">
              <w:rPr>
                <w:rFonts w:ascii="Arial" w:hAnsi="Arial" w:cs="Arial"/>
                <w:color w:val="262626" w:themeColor="text1" w:themeTint="D9"/>
              </w:rPr>
              <w:t>Cuenta con Reglas de Operación que se fueron mejoran</w:t>
            </w:r>
            <w:r w:rsidR="0041385E">
              <w:rPr>
                <w:rFonts w:ascii="Arial" w:hAnsi="Arial" w:cs="Arial"/>
                <w:color w:val="262626" w:themeColor="text1" w:themeTint="D9"/>
              </w:rPr>
              <w:t>do durante el primer ejercicio ahora se requiere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 xml:space="preserve"> identifica</w:t>
            </w:r>
            <w:r w:rsidR="0041385E">
              <w:rPr>
                <w:rFonts w:ascii="Arial" w:hAnsi="Arial" w:cs="Arial"/>
                <w:color w:val="262626" w:themeColor="text1" w:themeTint="D9"/>
              </w:rPr>
              <w:t>r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1385E" w:rsidRPr="00144413">
              <w:rPr>
                <w:rFonts w:ascii="Arial" w:hAnsi="Arial" w:cs="Arial"/>
                <w:color w:val="262626" w:themeColor="text1" w:themeTint="D9"/>
              </w:rPr>
              <w:t>las necesidades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 xml:space="preserve"> de mejora en cuanto a capacitación de recursos humanos, equipamiento e infraestructura para un mejor desempeño.</w:t>
            </w:r>
          </w:p>
        </w:tc>
      </w:tr>
      <w:tr w:rsidR="00364371" w:rsidRPr="003C230C" w:rsidTr="00364371">
        <w:trPr>
          <w:trHeight w:val="41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64371" w:rsidRPr="003C230C" w:rsidRDefault="00364371" w:rsidP="0036437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Percepción de la población atendida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Pr="003C230C" w:rsidRDefault="00364371" w:rsidP="0036437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5%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Pr="00144413" w:rsidRDefault="00364371" w:rsidP="0041385E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44413">
              <w:rPr>
                <w:rFonts w:ascii="Arial" w:hAnsi="Arial" w:cs="Arial"/>
                <w:color w:val="262626" w:themeColor="text1" w:themeTint="D9"/>
              </w:rPr>
              <w:t xml:space="preserve">El programa </w:t>
            </w:r>
            <w:r w:rsidR="0041385E">
              <w:rPr>
                <w:rFonts w:ascii="Arial" w:hAnsi="Arial" w:cs="Arial"/>
                <w:color w:val="262626" w:themeColor="text1" w:themeTint="D9"/>
              </w:rPr>
              <w:t>cuenta con un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 xml:space="preserve"> instrumentos para medir el grado de satisfacción de sus beneficiarias</w:t>
            </w:r>
            <w:r w:rsidR="0041385E">
              <w:rPr>
                <w:rFonts w:ascii="Arial" w:hAnsi="Arial" w:cs="Arial"/>
                <w:color w:val="262626" w:themeColor="text1" w:themeTint="D9"/>
              </w:rPr>
              <w:t xml:space="preserve"> ahora el reto es aplicarlo al porcentaje acordado</w:t>
            </w:r>
            <w:proofErr w:type="gramStart"/>
            <w:r w:rsidR="0041385E">
              <w:rPr>
                <w:rFonts w:ascii="Arial" w:hAnsi="Arial" w:cs="Arial"/>
                <w:color w:val="262626" w:themeColor="text1" w:themeTint="D9"/>
              </w:rPr>
              <w:t>.</w:t>
            </w:r>
            <w:r w:rsidRPr="00144413">
              <w:rPr>
                <w:rFonts w:ascii="Arial" w:hAnsi="Arial" w:cs="Arial"/>
                <w:color w:val="262626" w:themeColor="text1" w:themeTint="D9"/>
              </w:rPr>
              <w:t>.</w:t>
            </w:r>
            <w:proofErr w:type="gramEnd"/>
          </w:p>
        </w:tc>
      </w:tr>
      <w:tr w:rsidR="00364371" w:rsidRPr="003C230C" w:rsidTr="00364371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4371" w:rsidRPr="003C230C" w:rsidRDefault="00364371" w:rsidP="00364371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Valoración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</w:t>
            </w: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final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4371" w:rsidRPr="003C230C" w:rsidRDefault="00364371" w:rsidP="00364371">
            <w:pPr>
              <w:rPr>
                <w:rFonts w:ascii="Arial" w:hAnsi="Arial" w:cs="Arial"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color w:val="262626" w:themeColor="text1" w:themeTint="D9"/>
              </w:rPr>
              <w:t>Promedio global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1" w:rsidRPr="00935F31" w:rsidRDefault="00364371" w:rsidP="00364371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61.25</w:t>
            </w:r>
          </w:p>
        </w:tc>
      </w:tr>
    </w:tbl>
    <w:p w:rsidR="00D438A9" w:rsidRPr="003C230C" w:rsidRDefault="00D438A9" w:rsidP="00D438A9">
      <w:pPr>
        <w:spacing w:after="120" w:line="320" w:lineRule="exact"/>
        <w:ind w:right="51"/>
        <w:rPr>
          <w:rFonts w:ascii="Arial" w:hAnsi="Arial" w:cs="Arial"/>
          <w:b/>
          <w:iCs/>
          <w:color w:val="262626" w:themeColor="text1" w:themeTint="D9"/>
        </w:rPr>
      </w:pPr>
    </w:p>
    <w:p w:rsidR="00D438A9" w:rsidRDefault="00D438A9" w:rsidP="00D438A9">
      <w:pPr>
        <w:spacing w:after="120" w:line="320" w:lineRule="exact"/>
        <w:ind w:right="51"/>
        <w:rPr>
          <w:rFonts w:ascii="Arial" w:eastAsia="Times" w:hAnsi="Arial" w:cs="Arial"/>
          <w:b/>
          <w:iCs/>
          <w:color w:val="262626" w:themeColor="text1" w:themeTint="D9"/>
        </w:rPr>
      </w:pPr>
    </w:p>
    <w:p w:rsidR="00D438A9" w:rsidRDefault="00D438A9"/>
    <w:sectPr w:rsidR="00D438A9" w:rsidSect="00AC02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9"/>
    <w:rsid w:val="0003160C"/>
    <w:rsid w:val="000D6889"/>
    <w:rsid w:val="00144413"/>
    <w:rsid w:val="0017103C"/>
    <w:rsid w:val="00204BA4"/>
    <w:rsid w:val="002D7C16"/>
    <w:rsid w:val="002E2726"/>
    <w:rsid w:val="002E2B2C"/>
    <w:rsid w:val="00325EB1"/>
    <w:rsid w:val="00364371"/>
    <w:rsid w:val="00377D2E"/>
    <w:rsid w:val="003E6EE1"/>
    <w:rsid w:val="003F43AC"/>
    <w:rsid w:val="0041385E"/>
    <w:rsid w:val="00470C91"/>
    <w:rsid w:val="004B7CA5"/>
    <w:rsid w:val="005B7A08"/>
    <w:rsid w:val="00651130"/>
    <w:rsid w:val="006D5672"/>
    <w:rsid w:val="007D5BF7"/>
    <w:rsid w:val="00873936"/>
    <w:rsid w:val="008C642E"/>
    <w:rsid w:val="008D5BB0"/>
    <w:rsid w:val="00917580"/>
    <w:rsid w:val="00935F31"/>
    <w:rsid w:val="009B3A7E"/>
    <w:rsid w:val="009B4224"/>
    <w:rsid w:val="009E5667"/>
    <w:rsid w:val="00AC020C"/>
    <w:rsid w:val="00B315F5"/>
    <w:rsid w:val="00B60431"/>
    <w:rsid w:val="00B866F4"/>
    <w:rsid w:val="00D438A9"/>
    <w:rsid w:val="00DB5D36"/>
    <w:rsid w:val="00E21251"/>
    <w:rsid w:val="00E85E8F"/>
    <w:rsid w:val="00EF726C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24A5D-0824-4EED-9B6C-E3F4D05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A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</dc:creator>
  <cp:lastModifiedBy>Claudia Patricia Casillas Cobian</cp:lastModifiedBy>
  <cp:revision>2</cp:revision>
  <cp:lastPrinted>2018-02-01T19:42:00Z</cp:lastPrinted>
  <dcterms:created xsi:type="dcterms:W3CDTF">2018-02-09T15:31:00Z</dcterms:created>
  <dcterms:modified xsi:type="dcterms:W3CDTF">2018-02-09T15:31:00Z</dcterms:modified>
</cp:coreProperties>
</file>