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2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3812B5" w:rsidRPr="00A53525" w:rsidTr="003812B5">
        <w:trPr>
          <w:trHeight w:val="1137"/>
        </w:trPr>
        <w:tc>
          <w:tcPr>
            <w:tcW w:w="1651" w:type="dxa"/>
          </w:tcPr>
          <w:p w:rsidR="003812B5" w:rsidRPr="00A53525" w:rsidRDefault="003812B5" w:rsidP="003812B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12B5" w:rsidRPr="00A53525" w:rsidRDefault="003812B5" w:rsidP="003812B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12B5" w:rsidRPr="00A53525" w:rsidRDefault="003812B5" w:rsidP="003812B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3812B5" w:rsidRDefault="003812B5" w:rsidP="003812B5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3812B5" w:rsidRPr="005D6B0E" w:rsidRDefault="003812B5" w:rsidP="003812B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3812B5" w:rsidRDefault="003812B5" w:rsidP="003812B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12B5" w:rsidRDefault="003812B5" w:rsidP="003812B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  <w:p w:rsidR="003812B5" w:rsidRDefault="003812B5" w:rsidP="003812B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12B5" w:rsidRDefault="003812B5" w:rsidP="003812B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12B5" w:rsidRPr="00A53525" w:rsidRDefault="003812B5" w:rsidP="003812B5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95B59" w:rsidRDefault="00195B59" w:rsidP="0068316A">
      <w:pPr>
        <w:jc w:val="center"/>
        <w:rPr>
          <w:sz w:val="28"/>
        </w:rPr>
      </w:pPr>
      <w:bookmarkStart w:id="0" w:name="_GoBack"/>
      <w:bookmarkEnd w:id="0"/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775"/>
        <w:gridCol w:w="1007"/>
        <w:gridCol w:w="1621"/>
        <w:gridCol w:w="1377"/>
        <w:gridCol w:w="867"/>
        <w:gridCol w:w="869"/>
        <w:gridCol w:w="813"/>
        <w:gridCol w:w="946"/>
        <w:gridCol w:w="323"/>
        <w:gridCol w:w="503"/>
        <w:gridCol w:w="826"/>
      </w:tblGrid>
      <w:tr w:rsidR="00C517DC" w:rsidTr="00FD4785">
        <w:tc>
          <w:tcPr>
            <w:tcW w:w="384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</w:t>
            </w:r>
            <w:r w:rsidRPr="004A6089">
              <w:rPr>
                <w:b/>
              </w:rPr>
              <w:t>servicio</w:t>
            </w:r>
            <w:r>
              <w:t>/campaña</w:t>
            </w:r>
          </w:p>
        </w:tc>
        <w:tc>
          <w:tcPr>
            <w:tcW w:w="6554" w:type="dxa"/>
            <w:gridSpan w:val="6"/>
          </w:tcPr>
          <w:p w:rsidR="00FA5E7E" w:rsidRPr="00C05FC8" w:rsidRDefault="001833CF" w:rsidP="00D61342">
            <w:pPr>
              <w:jc w:val="both"/>
              <w:rPr>
                <w:b/>
              </w:rPr>
            </w:pPr>
            <w:r>
              <w:rPr>
                <w:b/>
              </w:rPr>
              <w:t xml:space="preserve">REPRESENTACIÓN </w:t>
            </w:r>
            <w:r w:rsidR="00C05FC8" w:rsidRPr="00C05FC8">
              <w:rPr>
                <w:b/>
              </w:rPr>
              <w:t xml:space="preserve"> </w:t>
            </w:r>
            <w:r>
              <w:rPr>
                <w:b/>
              </w:rPr>
              <w:t>JURÍDICA</w:t>
            </w:r>
            <w:r w:rsidR="00C05FC8">
              <w:rPr>
                <w:b/>
              </w:rPr>
              <w:t>, CONSULTIVO Y LEGA</w:t>
            </w:r>
            <w:r w:rsidR="00D61342">
              <w:rPr>
                <w:b/>
              </w:rPr>
              <w:t xml:space="preserve">L </w:t>
            </w:r>
            <w:r w:rsidR="00C05FC8">
              <w:rPr>
                <w:b/>
              </w:rPr>
              <w:t xml:space="preserve">DEL </w:t>
            </w:r>
            <w:r w:rsidR="00AD1A20">
              <w:rPr>
                <w:b/>
              </w:rPr>
              <w:t>H. AYUNTAMIENTO CONSTITUCIONAL DE SAN PEDRO TLAQUEPAQUE.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329" w:type="dxa"/>
            <w:gridSpan w:val="2"/>
            <w:shd w:val="clear" w:color="auto" w:fill="FABF8F" w:themeFill="accent6" w:themeFillTint="99"/>
          </w:tcPr>
          <w:p w:rsidR="00A00F82" w:rsidRDefault="00442093" w:rsidP="006F1A5C">
            <w:pPr>
              <w:jc w:val="both"/>
            </w:pPr>
            <w:r>
              <w:t>6</w:t>
            </w:r>
          </w:p>
        </w:tc>
      </w:tr>
      <w:tr w:rsidR="00C517DC" w:rsidTr="00FD4785">
        <w:tc>
          <w:tcPr>
            <w:tcW w:w="384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554" w:type="dxa"/>
            <w:gridSpan w:val="6"/>
          </w:tcPr>
          <w:p w:rsidR="00FA5E7E" w:rsidRDefault="00C05FC8" w:rsidP="006F1A5C">
            <w:pPr>
              <w:jc w:val="both"/>
            </w:pPr>
            <w:r>
              <w:t>Dirección General Jurídica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329" w:type="dxa"/>
            <w:gridSpan w:val="2"/>
            <w:shd w:val="clear" w:color="auto" w:fill="FABF8F" w:themeFill="accent6" w:themeFillTint="99"/>
          </w:tcPr>
          <w:p w:rsidR="00A00F82" w:rsidRDefault="00442093" w:rsidP="006F1A5C">
            <w:pPr>
              <w:jc w:val="both"/>
            </w:pPr>
            <w:r>
              <w:t>6.5</w:t>
            </w:r>
          </w:p>
        </w:tc>
      </w:tr>
      <w:tr w:rsidR="00C517DC" w:rsidTr="00FD4785">
        <w:trPr>
          <w:trHeight w:val="675"/>
        </w:trPr>
        <w:tc>
          <w:tcPr>
            <w:tcW w:w="384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554" w:type="dxa"/>
            <w:gridSpan w:val="6"/>
            <w:vMerge w:val="restart"/>
          </w:tcPr>
          <w:p w:rsidR="0060146C" w:rsidRPr="00E62600" w:rsidRDefault="00E62600" w:rsidP="005D3C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Realiza</w:t>
            </w:r>
            <w:r w:rsidR="006C1395">
              <w:rPr>
                <w:rFonts w:cstheme="minorHAnsi"/>
              </w:rPr>
              <w:t xml:space="preserve"> las funciones apegadas a la certeza legal, </w:t>
            </w:r>
            <w:r>
              <w:rPr>
                <w:rFonts w:cstheme="minorHAnsi"/>
              </w:rPr>
              <w:t xml:space="preserve">ante los Juzgados del Poder Judicial de la Federación, en las diversas materias </w:t>
            </w:r>
            <w:r w:rsidRPr="0060146C">
              <w:rPr>
                <w:color w:val="000000"/>
              </w:rPr>
              <w:t>administrativa</w:t>
            </w:r>
            <w:r>
              <w:rPr>
                <w:color w:val="000000"/>
              </w:rPr>
              <w:t>, Mercantil, Penal, Civil, Amparos, Quejas</w:t>
            </w:r>
            <w:r>
              <w:rPr>
                <w:rFonts w:cstheme="minorHAnsi"/>
              </w:rPr>
              <w:t xml:space="preserve"> </w:t>
            </w:r>
            <w:r w:rsidR="003812B5">
              <w:rPr>
                <w:rFonts w:cstheme="minorHAnsi"/>
              </w:rPr>
              <w:t xml:space="preserve">que </w:t>
            </w:r>
            <w:r w:rsidR="006C1395">
              <w:rPr>
                <w:rFonts w:cstheme="minorHAnsi"/>
              </w:rPr>
              <w:t>tienen como objetivo salvaguardar los intereses económicos</w:t>
            </w:r>
            <w:r w:rsidR="003812B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logrando</w:t>
            </w:r>
            <w:r w:rsidR="006C1395">
              <w:rPr>
                <w:rFonts w:cstheme="minorHAnsi"/>
              </w:rPr>
              <w:t xml:space="preserve"> resoluciones jurídicas </w:t>
            </w:r>
            <w:r w:rsidR="0062659F">
              <w:rPr>
                <w:rFonts w:cstheme="minorHAnsi"/>
              </w:rPr>
              <w:t>favorables para el Ayuntamiento</w:t>
            </w:r>
            <w:r>
              <w:rPr>
                <w:rFonts w:cstheme="minorHAnsi"/>
              </w:rPr>
              <w:t>,</w:t>
            </w:r>
            <w:r w:rsidRPr="001833CF">
              <w:rPr>
                <w:rFonts w:cstheme="minorHAnsi"/>
              </w:rPr>
              <w:t xml:space="preserve"> coadyuvando a la Presidenta Municipal, Secretario, Síndico, Regidores </w:t>
            </w:r>
            <w:r w:rsidRPr="001833CF">
              <w:rPr>
                <w:rFonts w:cstheme="minorHAnsi"/>
                <w:color w:val="0D0D0D" w:themeColor="text1" w:themeTint="F2"/>
              </w:rPr>
              <w:t>y en general a todas las Direcciones y Jefaturas de Departamento del propio Gobierno Municipal</w:t>
            </w:r>
            <w:r>
              <w:rPr>
                <w:rFonts w:cstheme="minorHAnsi"/>
              </w:rPr>
              <w:t xml:space="preserve">, </w:t>
            </w:r>
            <w:r w:rsidR="0060146C">
              <w:rPr>
                <w:color w:val="000000"/>
              </w:rPr>
              <w:t>en coordinación del Colegiado de abogados que integran la Jefatura de los Contencioso Administrativo, Jefatura de Jurídico de Obras Públicas y Jefatura de Siniestros</w:t>
            </w:r>
            <w:r w:rsidR="002A55D9">
              <w:rPr>
                <w:color w:val="000000"/>
              </w:rPr>
              <w:t>.</w:t>
            </w:r>
          </w:p>
          <w:p w:rsidR="002A55D9" w:rsidRDefault="002A55D9" w:rsidP="002A55D9">
            <w:pPr>
              <w:jc w:val="both"/>
              <w:rPr>
                <w:color w:val="000000"/>
              </w:rPr>
            </w:pPr>
          </w:p>
          <w:p w:rsidR="00C81B35" w:rsidRDefault="00E62600" w:rsidP="002A55D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Coordinación con</w:t>
            </w:r>
            <w:r w:rsidR="00C81B35" w:rsidRPr="00C81B35">
              <w:rPr>
                <w:rFonts w:cs="Arial"/>
              </w:rPr>
              <w:t xml:space="preserve"> la Fiscalía de Reinserción Social del Estado de Jalisco</w:t>
            </w:r>
            <w:r>
              <w:rPr>
                <w:rFonts w:cs="Arial"/>
              </w:rPr>
              <w:t xml:space="preserve">, </w:t>
            </w:r>
            <w:r w:rsidR="00045207">
              <w:rPr>
                <w:rFonts w:cs="Arial"/>
              </w:rPr>
              <w:t>en el c</w:t>
            </w:r>
            <w:r w:rsidRPr="00C81B35">
              <w:rPr>
                <w:rFonts w:cs="Arial"/>
              </w:rPr>
              <w:t>ontrol de Presentaciones de Liberados</w:t>
            </w:r>
            <w:r w:rsidR="00C81B35">
              <w:rPr>
                <w:rFonts w:cs="Arial"/>
              </w:rPr>
              <w:t>.</w:t>
            </w:r>
          </w:p>
          <w:p w:rsidR="00C80FAF" w:rsidRDefault="00C80FAF" w:rsidP="002A55D9">
            <w:pPr>
              <w:jc w:val="both"/>
              <w:rPr>
                <w:rFonts w:cs="Arial"/>
              </w:rPr>
            </w:pPr>
          </w:p>
          <w:p w:rsidR="00C517DC" w:rsidRDefault="00C80FAF" w:rsidP="002A55D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Asesorías a ciudadanos del municipio y de la zona metropolitana</w:t>
            </w:r>
            <w:r w:rsidR="00526EFA">
              <w:rPr>
                <w:rFonts w:cs="Arial"/>
              </w:rPr>
              <w:t>, en la materia que lo requiera, Mercantil, Civil, Penal, Administrativo, Amparos, Quejas, mismos que en su momento son canalizados a dependencias gubernamentales y no gubernamentales, para su seguimiento y/o tramite</w:t>
            </w:r>
            <w:r w:rsidR="00C517DC">
              <w:rPr>
                <w:rFonts w:cs="Arial"/>
              </w:rPr>
              <w:t>, las cuales son:</w:t>
            </w:r>
          </w:p>
          <w:p w:rsidR="00C517DC" w:rsidRDefault="00C517DC" w:rsidP="002A55D9">
            <w:pPr>
              <w:jc w:val="both"/>
              <w:rPr>
                <w:rFonts w:cs="Arial"/>
              </w:rPr>
            </w:pPr>
          </w:p>
          <w:p w:rsidR="00C517DC" w:rsidRDefault="00C517DC" w:rsidP="00C517DC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Procuraduría Social del Estado de Jalisco</w:t>
            </w:r>
          </w:p>
          <w:p w:rsidR="00C517DC" w:rsidRDefault="00C517DC" w:rsidP="00C517DC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Procuraduría de la Defensa del Trabajo del Estado de Jalisco</w:t>
            </w:r>
          </w:p>
          <w:p w:rsidR="00C517DC" w:rsidRDefault="00C517DC" w:rsidP="00C517DC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Fiscalía Central del Estado de Jalisco</w:t>
            </w:r>
          </w:p>
          <w:p w:rsidR="00C517DC" w:rsidRDefault="00C517DC" w:rsidP="00C517DC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Bufet  de Servicio Social de la U. de G.</w:t>
            </w:r>
          </w:p>
          <w:p w:rsidR="00C517DC" w:rsidRDefault="00C517DC" w:rsidP="00C517DC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lastRenderedPageBreak/>
              <w:t>Mediación Municipal.</w:t>
            </w:r>
          </w:p>
          <w:p w:rsidR="002A55D9" w:rsidRPr="00C81B35" w:rsidRDefault="002A55D9" w:rsidP="005D3CE9">
            <w:pPr>
              <w:jc w:val="both"/>
              <w:rPr>
                <w:rFonts w:cstheme="minorHAnsi"/>
              </w:rPr>
            </w:pPr>
          </w:p>
          <w:p w:rsidR="00B14E65" w:rsidRPr="005D3CE9" w:rsidRDefault="00B14E65" w:rsidP="005D3C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 lograr cumplir las atribuciones de la Dirección General Jurídica, es necesario</w:t>
            </w:r>
            <w:r w:rsidR="0060146C">
              <w:rPr>
                <w:rFonts w:cstheme="minorHAnsi"/>
              </w:rPr>
              <w:t xml:space="preserve"> contar con el equipo de computación</w:t>
            </w:r>
            <w:r>
              <w:rPr>
                <w:rFonts w:cstheme="minorHAnsi"/>
              </w:rPr>
              <w:t xml:space="preserve"> actualizado para cada uno de los abogados que conforman la Dirección, material de oficina así como vehículos en buenas condiciones.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lastRenderedPageBreak/>
              <w:t>Línea de Acción</w:t>
            </w:r>
          </w:p>
        </w:tc>
        <w:tc>
          <w:tcPr>
            <w:tcW w:w="1329" w:type="dxa"/>
            <w:gridSpan w:val="2"/>
            <w:shd w:val="clear" w:color="auto" w:fill="FABF8F" w:themeFill="accent6" w:themeFillTint="99"/>
          </w:tcPr>
          <w:p w:rsidR="00FA5E7E" w:rsidRDefault="00442093" w:rsidP="006F1A5C">
            <w:pPr>
              <w:jc w:val="both"/>
            </w:pPr>
            <w:r>
              <w:t>6.5.1</w:t>
            </w:r>
          </w:p>
        </w:tc>
      </w:tr>
      <w:tr w:rsidR="00C517DC" w:rsidTr="00FD4785">
        <w:trPr>
          <w:trHeight w:val="675"/>
        </w:trPr>
        <w:tc>
          <w:tcPr>
            <w:tcW w:w="384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554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A5E7E" w:rsidRDefault="00FA5E7E" w:rsidP="007832FD">
            <w:r>
              <w:t>No. de PP Especial</w:t>
            </w:r>
          </w:p>
        </w:tc>
        <w:tc>
          <w:tcPr>
            <w:tcW w:w="1329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517DC" w:rsidTr="00FD4785">
        <w:trPr>
          <w:trHeight w:val="498"/>
        </w:trPr>
        <w:tc>
          <w:tcPr>
            <w:tcW w:w="3842" w:type="dxa"/>
            <w:gridSpan w:val="4"/>
            <w:shd w:val="clear" w:color="auto" w:fill="D9D9D9" w:themeFill="background1" w:themeFillShade="D9"/>
          </w:tcPr>
          <w:p w:rsidR="00FD4785" w:rsidRDefault="00FD4785" w:rsidP="00FD4785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554" w:type="dxa"/>
            <w:gridSpan w:val="6"/>
          </w:tcPr>
          <w:p w:rsidR="00FD4785" w:rsidRDefault="00FD4785" w:rsidP="00FD4785">
            <w:pPr>
              <w:jc w:val="both"/>
            </w:pPr>
            <w:r>
              <w:t xml:space="preserve">Los procesos de </w:t>
            </w:r>
            <w:r w:rsidRPr="001833CF">
              <w:rPr>
                <w:rFonts w:cstheme="minorHAnsi"/>
                <w:color w:val="0D0D0D" w:themeColor="text1" w:themeTint="F2"/>
              </w:rPr>
              <w:t xml:space="preserve"> carác</w:t>
            </w:r>
            <w:r>
              <w:rPr>
                <w:rFonts w:cstheme="minorHAnsi"/>
                <w:color w:val="0D0D0D" w:themeColor="text1" w:themeTint="F2"/>
              </w:rPr>
              <w:t>ter judicial o administrativo</w:t>
            </w:r>
            <w:r>
              <w:t xml:space="preserve"> en el territorio que comprende el Municipio de San Pedro Tlaquepaque, Jalisco</w:t>
            </w:r>
            <w:r w:rsidR="003812B5">
              <w:t xml:space="preserve"> y zona metropolitana</w:t>
            </w:r>
            <w:r>
              <w:t>.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D4785" w:rsidRDefault="00FD4785" w:rsidP="00FD4785">
            <w:r>
              <w:t>Vinc al PND</w:t>
            </w:r>
          </w:p>
        </w:tc>
        <w:tc>
          <w:tcPr>
            <w:tcW w:w="1329" w:type="dxa"/>
            <w:gridSpan w:val="2"/>
            <w:shd w:val="clear" w:color="auto" w:fill="FABF8F" w:themeFill="accent6" w:themeFillTint="99"/>
          </w:tcPr>
          <w:p w:rsidR="00FD4785" w:rsidRDefault="00FD4785" w:rsidP="00FD4785">
            <w:pPr>
              <w:jc w:val="both"/>
            </w:pPr>
          </w:p>
        </w:tc>
      </w:tr>
      <w:tr w:rsidR="00C517DC" w:rsidTr="00FD4785">
        <w:tc>
          <w:tcPr>
            <w:tcW w:w="3842" w:type="dxa"/>
            <w:gridSpan w:val="4"/>
            <w:shd w:val="clear" w:color="auto" w:fill="D9D9D9" w:themeFill="background1" w:themeFillShade="D9"/>
          </w:tcPr>
          <w:p w:rsidR="00FD4785" w:rsidRDefault="00FD4785" w:rsidP="00FD4785">
            <w:pPr>
              <w:jc w:val="both"/>
            </w:pPr>
            <w:r>
              <w:t>E) Nombre del Enlace o Responsable</w:t>
            </w:r>
          </w:p>
        </w:tc>
        <w:tc>
          <w:tcPr>
            <w:tcW w:w="6554" w:type="dxa"/>
            <w:gridSpan w:val="6"/>
          </w:tcPr>
          <w:p w:rsidR="00FD4785" w:rsidRDefault="00FD4785" w:rsidP="00FD4785">
            <w:pPr>
              <w:jc w:val="both"/>
            </w:pPr>
            <w:r>
              <w:t>Lic. Jesús Méndez Rodríguez.- Director General Jurídico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D4785" w:rsidRDefault="00FD4785" w:rsidP="00FD4785">
            <w:r>
              <w:t>Vinc al PED</w:t>
            </w:r>
          </w:p>
        </w:tc>
        <w:tc>
          <w:tcPr>
            <w:tcW w:w="1329" w:type="dxa"/>
            <w:gridSpan w:val="2"/>
            <w:shd w:val="clear" w:color="auto" w:fill="FABF8F" w:themeFill="accent6" w:themeFillTint="99"/>
          </w:tcPr>
          <w:p w:rsidR="00FD4785" w:rsidRDefault="00FD4785" w:rsidP="00FD4785">
            <w:pPr>
              <w:jc w:val="both"/>
            </w:pPr>
          </w:p>
        </w:tc>
      </w:tr>
      <w:tr w:rsidR="00C517DC" w:rsidTr="00FD4785">
        <w:trPr>
          <w:trHeight w:val="503"/>
        </w:trPr>
        <w:tc>
          <w:tcPr>
            <w:tcW w:w="3842" w:type="dxa"/>
            <w:gridSpan w:val="4"/>
            <w:shd w:val="clear" w:color="auto" w:fill="D9D9D9" w:themeFill="background1" w:themeFillShade="D9"/>
          </w:tcPr>
          <w:p w:rsidR="00FD4785" w:rsidRDefault="00FD4785" w:rsidP="00FD4785">
            <w:pPr>
              <w:jc w:val="both"/>
            </w:pPr>
            <w:r>
              <w:t>F) Objetivo específico</w:t>
            </w:r>
          </w:p>
        </w:tc>
        <w:tc>
          <w:tcPr>
            <w:tcW w:w="6554" w:type="dxa"/>
            <w:gridSpan w:val="6"/>
          </w:tcPr>
          <w:p w:rsidR="00FD4785" w:rsidRDefault="00FD4785" w:rsidP="00084464">
            <w:pPr>
              <w:pStyle w:val="Sinespaciado"/>
              <w:spacing w:line="276" w:lineRule="auto"/>
              <w:jc w:val="both"/>
            </w:pPr>
            <w:r w:rsidRPr="007D5EB6">
              <w:rPr>
                <w:rFonts w:asciiTheme="minorHAnsi" w:hAnsiTheme="minorHAnsi" w:cstheme="minorHAnsi"/>
                <w:sz w:val="22"/>
                <w:szCs w:val="22"/>
              </w:rPr>
              <w:t>Lograr salvaguardar los procesos de l</w:t>
            </w:r>
            <w:r w:rsidR="00084464">
              <w:rPr>
                <w:rFonts w:asciiTheme="minorHAnsi" w:hAnsiTheme="minorHAnsi" w:cstheme="minorHAnsi"/>
                <w:sz w:val="22"/>
                <w:szCs w:val="22"/>
              </w:rPr>
              <w:t xml:space="preserve">itigio, </w:t>
            </w:r>
            <w:r w:rsidRPr="007D5EB6">
              <w:rPr>
                <w:rFonts w:asciiTheme="minorHAnsi" w:hAnsiTheme="minorHAnsi" w:cstheme="minorHAnsi"/>
                <w:sz w:val="22"/>
                <w:szCs w:val="22"/>
              </w:rPr>
              <w:t xml:space="preserve">que conllevan los procesos legales a través de resoluciones jurídicas favorables para el Ayuntamiento. 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FD4785" w:rsidRDefault="00FD4785" w:rsidP="00FD4785">
            <w:r>
              <w:t>Vinc al PMetD</w:t>
            </w:r>
          </w:p>
        </w:tc>
        <w:tc>
          <w:tcPr>
            <w:tcW w:w="1329" w:type="dxa"/>
            <w:gridSpan w:val="2"/>
            <w:shd w:val="clear" w:color="auto" w:fill="FABF8F" w:themeFill="accent6" w:themeFillTint="99"/>
          </w:tcPr>
          <w:p w:rsidR="00FD4785" w:rsidRDefault="00FD4785" w:rsidP="00FD4785">
            <w:pPr>
              <w:jc w:val="both"/>
            </w:pPr>
          </w:p>
        </w:tc>
      </w:tr>
      <w:tr w:rsidR="00C517DC" w:rsidTr="00FD4785">
        <w:tc>
          <w:tcPr>
            <w:tcW w:w="3842" w:type="dxa"/>
            <w:gridSpan w:val="4"/>
            <w:shd w:val="clear" w:color="auto" w:fill="D9D9D9" w:themeFill="background1" w:themeFillShade="D9"/>
          </w:tcPr>
          <w:p w:rsidR="00FD4785" w:rsidRDefault="00FD4785" w:rsidP="00FD4785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152" w:type="dxa"/>
            <w:gridSpan w:val="10"/>
          </w:tcPr>
          <w:p w:rsidR="00FD4785" w:rsidRDefault="00FD4785" w:rsidP="00FD4785">
            <w:pPr>
              <w:jc w:val="both"/>
            </w:pPr>
            <w:r>
              <w:t xml:space="preserve">Los funcionarios de Primer nivel que integran el H. Ayuntamiento Constitucional de San Pedro Tlaquepaque, Jalisco, estos son; </w:t>
            </w:r>
            <w:r w:rsidRPr="001833CF">
              <w:rPr>
                <w:rFonts w:cstheme="minorHAnsi"/>
              </w:rPr>
              <w:t xml:space="preserve">Presidenta Municipal, Secretario, Síndico, Regidores </w:t>
            </w:r>
            <w:r w:rsidRPr="001833CF">
              <w:rPr>
                <w:rFonts w:cstheme="minorHAnsi"/>
                <w:color w:val="0D0D0D" w:themeColor="text1" w:themeTint="F2"/>
              </w:rPr>
              <w:t>y en general a todas las Direcciones y Jefaturas de Departamento del propio Gobierno Municipal</w:t>
            </w:r>
            <w:r>
              <w:rPr>
                <w:rFonts w:cstheme="minorHAnsi"/>
                <w:color w:val="0D0D0D" w:themeColor="text1" w:themeTint="F2"/>
              </w:rPr>
              <w:t>,</w:t>
            </w:r>
            <w:r w:rsidR="00C96E26">
              <w:rPr>
                <w:rFonts w:cstheme="minorHAnsi"/>
                <w:color w:val="0D0D0D" w:themeColor="text1" w:themeTint="F2"/>
              </w:rPr>
              <w:t xml:space="preserve"> de dependencias gubernamentales y no gubernamentales,</w:t>
            </w:r>
            <w:r>
              <w:rPr>
                <w:rFonts w:cstheme="minorHAnsi"/>
                <w:color w:val="0D0D0D" w:themeColor="text1" w:themeTint="F2"/>
              </w:rPr>
              <w:t xml:space="preserve"> así c</w:t>
            </w:r>
            <w:r w:rsidR="00D0190B">
              <w:rPr>
                <w:rFonts w:cstheme="minorHAnsi"/>
                <w:color w:val="0D0D0D" w:themeColor="text1" w:themeTint="F2"/>
              </w:rPr>
              <w:t>omo los ciudadanos</w:t>
            </w:r>
            <w:r>
              <w:rPr>
                <w:rFonts w:cstheme="minorHAnsi"/>
                <w:color w:val="0D0D0D" w:themeColor="text1" w:themeTint="F2"/>
              </w:rPr>
              <w:t xml:space="preserve"> que requieran del servicio de la Dirección General Jurídica.</w:t>
            </w:r>
          </w:p>
        </w:tc>
      </w:tr>
      <w:tr w:rsidR="00C517DC" w:rsidTr="00FD4785">
        <w:tc>
          <w:tcPr>
            <w:tcW w:w="4849" w:type="dxa"/>
            <w:gridSpan w:val="5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H) Tipo de propuesta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J) No de Beneficiarios</w:t>
            </w:r>
          </w:p>
        </w:tc>
        <w:tc>
          <w:tcPr>
            <w:tcW w:w="2549" w:type="dxa"/>
            <w:gridSpan w:val="3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K) Fecha de Inicio</w:t>
            </w:r>
          </w:p>
        </w:tc>
        <w:tc>
          <w:tcPr>
            <w:tcW w:w="2598" w:type="dxa"/>
            <w:gridSpan w:val="4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Fecha de Cierre</w:t>
            </w:r>
          </w:p>
        </w:tc>
      </w:tr>
      <w:tr w:rsidR="00442093" w:rsidTr="00FD4785">
        <w:tc>
          <w:tcPr>
            <w:tcW w:w="1092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Servicio</w:t>
            </w:r>
          </w:p>
        </w:tc>
        <w:tc>
          <w:tcPr>
            <w:tcW w:w="1782" w:type="dxa"/>
            <w:gridSpan w:val="2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Proyecto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Hombres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Mujeres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D4785" w:rsidRDefault="00FD4785" w:rsidP="00FD4785">
            <w:r>
              <w:t>01 de Enero del 2017</w:t>
            </w:r>
          </w:p>
        </w:tc>
        <w:tc>
          <w:tcPr>
            <w:tcW w:w="2598" w:type="dxa"/>
            <w:gridSpan w:val="4"/>
            <w:shd w:val="clear" w:color="auto" w:fill="auto"/>
          </w:tcPr>
          <w:p w:rsidR="00FD4785" w:rsidRDefault="00FD4785" w:rsidP="00FD4785">
            <w:r>
              <w:t>31 de Diciembre del 2017</w:t>
            </w:r>
          </w:p>
        </w:tc>
      </w:tr>
      <w:tr w:rsidR="00442093" w:rsidTr="00FD4785">
        <w:tc>
          <w:tcPr>
            <w:tcW w:w="1092" w:type="dxa"/>
          </w:tcPr>
          <w:p w:rsidR="00FD4785" w:rsidRDefault="00FD4785" w:rsidP="00FD4785">
            <w:pPr>
              <w:jc w:val="center"/>
            </w:pPr>
          </w:p>
        </w:tc>
        <w:tc>
          <w:tcPr>
            <w:tcW w:w="1060" w:type="dxa"/>
          </w:tcPr>
          <w:p w:rsidR="00FD4785" w:rsidRDefault="00FD4785" w:rsidP="00FD4785">
            <w:pPr>
              <w:jc w:val="center"/>
            </w:pPr>
          </w:p>
        </w:tc>
        <w:tc>
          <w:tcPr>
            <w:tcW w:w="915" w:type="dxa"/>
          </w:tcPr>
          <w:p w:rsidR="00FD4785" w:rsidRDefault="00FD4785" w:rsidP="00FD4785">
            <w:pPr>
              <w:jc w:val="center"/>
            </w:pPr>
            <w:r>
              <w:t>x</w:t>
            </w:r>
          </w:p>
        </w:tc>
        <w:tc>
          <w:tcPr>
            <w:tcW w:w="1782" w:type="dxa"/>
            <w:gridSpan w:val="2"/>
          </w:tcPr>
          <w:p w:rsidR="00FD4785" w:rsidRDefault="00FD4785" w:rsidP="00FD4785">
            <w:pPr>
              <w:jc w:val="center"/>
            </w:pPr>
            <w:r>
              <w:t>Jurídico Consultivo Legal</w:t>
            </w:r>
          </w:p>
        </w:tc>
        <w:tc>
          <w:tcPr>
            <w:tcW w:w="1621" w:type="dxa"/>
          </w:tcPr>
          <w:p w:rsidR="00FD4785" w:rsidRDefault="001F7CD6" w:rsidP="00FD4785">
            <w:pPr>
              <w:jc w:val="center"/>
            </w:pPr>
            <w:r>
              <w:t>X</w:t>
            </w:r>
          </w:p>
        </w:tc>
        <w:tc>
          <w:tcPr>
            <w:tcW w:w="1377" w:type="dxa"/>
          </w:tcPr>
          <w:p w:rsidR="00FD4785" w:rsidRDefault="00710198" w:rsidP="00FD4785">
            <w:pPr>
              <w:jc w:val="center"/>
            </w:pPr>
            <w:r>
              <w:t>X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Fed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Edo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x</w:t>
            </w:r>
          </w:p>
        </w:tc>
        <w:tc>
          <w:tcPr>
            <w:tcW w:w="826" w:type="dxa"/>
            <w:gridSpan w:val="2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x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FD4785" w:rsidRDefault="00FD4785" w:rsidP="00FD4785">
            <w:pPr>
              <w:jc w:val="center"/>
            </w:pPr>
            <w:r>
              <w:t>x</w:t>
            </w:r>
          </w:p>
        </w:tc>
      </w:tr>
      <w:tr w:rsidR="00442093" w:rsidTr="00FD4785">
        <w:tc>
          <w:tcPr>
            <w:tcW w:w="3067" w:type="dxa"/>
            <w:gridSpan w:val="3"/>
            <w:shd w:val="clear" w:color="auto" w:fill="D9D9D9" w:themeFill="background1" w:themeFillShade="D9"/>
          </w:tcPr>
          <w:p w:rsidR="00FD4785" w:rsidRDefault="00FD4785" w:rsidP="00FD4785">
            <w:r>
              <w:t>I) Monto total estimado</w:t>
            </w:r>
          </w:p>
        </w:tc>
        <w:tc>
          <w:tcPr>
            <w:tcW w:w="1782" w:type="dxa"/>
            <w:gridSpan w:val="2"/>
          </w:tcPr>
          <w:p w:rsidR="00FD4785" w:rsidRDefault="00FD4785" w:rsidP="00FD4785">
            <w:r>
              <w:t>El autorizado en el presupuesto y partidas correspondientes al ejercicio  fiscal 2017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</w:tcPr>
          <w:p w:rsidR="00FD4785" w:rsidRDefault="00FD4785" w:rsidP="00FD4785">
            <w:r>
              <w:t>Fuente de financiamiento</w:t>
            </w:r>
          </w:p>
        </w:tc>
        <w:tc>
          <w:tcPr>
            <w:tcW w:w="867" w:type="dxa"/>
            <w:shd w:val="clear" w:color="auto" w:fill="FABF8F" w:themeFill="accent6" w:themeFillTint="99"/>
          </w:tcPr>
          <w:p w:rsidR="00FD4785" w:rsidRDefault="00FD4785" w:rsidP="00FD4785"/>
        </w:tc>
        <w:tc>
          <w:tcPr>
            <w:tcW w:w="869" w:type="dxa"/>
            <w:shd w:val="clear" w:color="auto" w:fill="FABF8F" w:themeFill="accent6" w:themeFillTint="99"/>
          </w:tcPr>
          <w:p w:rsidR="00FD4785" w:rsidRDefault="00FD4785" w:rsidP="00FD4785"/>
        </w:tc>
        <w:tc>
          <w:tcPr>
            <w:tcW w:w="813" w:type="dxa"/>
            <w:shd w:val="clear" w:color="auto" w:fill="FABF8F" w:themeFill="accent6" w:themeFillTint="99"/>
          </w:tcPr>
          <w:p w:rsidR="00FD4785" w:rsidRDefault="00FD4785" w:rsidP="00FD4785"/>
        </w:tc>
        <w:tc>
          <w:tcPr>
            <w:tcW w:w="946" w:type="dxa"/>
            <w:shd w:val="clear" w:color="auto" w:fill="FABF8F" w:themeFill="accent6" w:themeFillTint="99"/>
          </w:tcPr>
          <w:p w:rsidR="00FD4785" w:rsidRDefault="00FD4785" w:rsidP="00FD4785"/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D4785" w:rsidRDefault="00FD4785" w:rsidP="00FD4785"/>
        </w:tc>
        <w:tc>
          <w:tcPr>
            <w:tcW w:w="826" w:type="dxa"/>
            <w:shd w:val="clear" w:color="auto" w:fill="FABF8F" w:themeFill="accent6" w:themeFillTint="99"/>
          </w:tcPr>
          <w:p w:rsidR="00FD4785" w:rsidRDefault="00FD4785" w:rsidP="00FD4785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D5EB6" w:rsidRPr="007D5EB6" w:rsidRDefault="00210791" w:rsidP="007D5EB6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5EB6">
              <w:rPr>
                <w:rFonts w:asciiTheme="minorHAnsi" w:hAnsiTheme="minorHAnsi" w:cstheme="minorHAnsi"/>
                <w:sz w:val="22"/>
                <w:szCs w:val="22"/>
              </w:rPr>
              <w:t xml:space="preserve">Coordinar </w:t>
            </w:r>
            <w:r w:rsidR="00754865" w:rsidRPr="007D5EB6">
              <w:rPr>
                <w:rFonts w:asciiTheme="minorHAnsi" w:hAnsiTheme="minorHAnsi" w:cstheme="minorHAnsi"/>
                <w:sz w:val="22"/>
                <w:szCs w:val="22"/>
              </w:rPr>
              <w:t xml:space="preserve"> los actos jurídicos</w:t>
            </w:r>
            <w:r w:rsidR="00234D3D" w:rsidRPr="007D5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1EE" w:rsidRPr="007D5EB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234D3D" w:rsidRPr="007D5EB6">
              <w:rPr>
                <w:rFonts w:asciiTheme="minorHAnsi" w:hAnsiTheme="minorHAnsi" w:cstheme="minorHAnsi"/>
                <w:sz w:val="22"/>
                <w:szCs w:val="22"/>
              </w:rPr>
              <w:t>los procesos legales</w:t>
            </w:r>
            <w:r w:rsidR="005941EE" w:rsidRPr="007D5EB6">
              <w:rPr>
                <w:rFonts w:asciiTheme="minorHAnsi" w:hAnsiTheme="minorHAnsi" w:cstheme="minorHAnsi"/>
                <w:sz w:val="22"/>
                <w:szCs w:val="22"/>
              </w:rPr>
              <w:t xml:space="preserve"> emplazados al municipio a través de las áreas </w:t>
            </w:r>
            <w:r w:rsidR="007D5EB6" w:rsidRPr="007D5EB6">
              <w:rPr>
                <w:rFonts w:asciiTheme="minorHAnsi" w:hAnsiTheme="minorHAnsi" w:cstheme="minorHAnsi"/>
                <w:sz w:val="22"/>
                <w:szCs w:val="22"/>
              </w:rPr>
              <w:t xml:space="preserve">que integran la Dirección General Jurídica, las cuales son Jefatura de lo Contencioso Administrativo; </w:t>
            </w:r>
            <w:r w:rsidR="003812B5">
              <w:rPr>
                <w:rFonts w:asciiTheme="minorHAnsi" w:hAnsiTheme="minorHAnsi" w:cstheme="minorHAnsi"/>
                <w:sz w:val="22"/>
                <w:szCs w:val="22"/>
              </w:rPr>
              <w:t xml:space="preserve"> Jefatura de Jurídico de Obras Públicas </w:t>
            </w:r>
            <w:r w:rsidR="007D5EB6" w:rsidRPr="007D5EB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D5EB6" w:rsidRPr="007D5EB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Jefatura de Siniestros.</w:t>
            </w:r>
            <w:r w:rsidR="007D5EB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Para lograr el seguimiento de los litigios que se tramitan</w:t>
            </w:r>
            <w:r w:rsidR="003812B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en cada una de las áreas antes señaladas</w:t>
            </w:r>
            <w:r w:rsidR="002D4C6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5461F3" w:rsidRDefault="005461F3" w:rsidP="007832FD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7832FD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Pr="00B11471" w:rsidRDefault="002D4C63" w:rsidP="00F322DC">
            <w:pPr>
              <w:pStyle w:val="Sinespaciado"/>
              <w:spacing w:line="276" w:lineRule="auto"/>
              <w:jc w:val="both"/>
            </w:pPr>
            <w:r w:rsidRPr="00B11471">
              <w:rPr>
                <w:rFonts w:asciiTheme="minorHAnsi" w:hAnsiTheme="minorHAnsi" w:cstheme="minorHAnsi"/>
                <w:sz w:val="22"/>
                <w:szCs w:val="22"/>
              </w:rPr>
              <w:t>Los métodos</w:t>
            </w:r>
            <w:r w:rsidR="00B11471" w:rsidRPr="00B11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1471" w:rsidRPr="00B11471">
              <w:rPr>
                <w:rFonts w:asciiTheme="minorHAnsi" w:eastAsia="Times New Roman" w:hAnsiTheme="minorHAnsi" w:cstheme="minorHAnsi"/>
                <w:sz w:val="22"/>
                <w:szCs w:val="22"/>
              </w:rPr>
              <w:t>de</w:t>
            </w:r>
            <w:r w:rsidR="00F322D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 praxis legal que corresponde a</w:t>
            </w:r>
            <w:r w:rsidR="00B11471" w:rsidRPr="00B1147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 materia </w:t>
            </w:r>
            <w:r w:rsidR="00F322DC">
              <w:rPr>
                <w:rFonts w:asciiTheme="minorHAnsi" w:eastAsia="Times New Roman" w:hAnsiTheme="minorHAnsi" w:cstheme="minorHAnsi"/>
                <w:sz w:val="22"/>
                <w:szCs w:val="22"/>
              </w:rPr>
              <w:t>Administrativa</w:t>
            </w:r>
            <w:r w:rsidR="00644413">
              <w:rPr>
                <w:rFonts w:asciiTheme="minorHAnsi" w:eastAsia="Times New Roman" w:hAnsiTheme="minorHAnsi" w:cstheme="minorHAnsi"/>
                <w:sz w:val="22"/>
                <w:szCs w:val="22"/>
              </w:rPr>
              <w:t>, Mercantil, Civil, Penal, Amparo</w:t>
            </w:r>
            <w:r w:rsidR="00F322DC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7832FD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7832FD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82039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B11471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B11471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BF7FBA" w:rsidRPr="00BF7FBA" w:rsidRDefault="00BF7FBA" w:rsidP="00EA6E16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rocesos realizados </w:t>
            </w:r>
            <w:r w:rsidR="00EA6E16" w:rsidRPr="00BF7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BF7FBA">
              <w:rPr>
                <w:rFonts w:asciiTheme="minorHAnsi" w:hAnsiTheme="minorHAnsi" w:cstheme="minorHAnsi"/>
                <w:sz w:val="22"/>
                <w:szCs w:val="22"/>
              </w:rPr>
              <w:t xml:space="preserve"> las áreas que integran </w:t>
            </w:r>
            <w:r w:rsidR="00EA6E16" w:rsidRPr="00BF7FBA"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Dirección General Jurídica:</w:t>
            </w:r>
          </w:p>
          <w:p w:rsidR="00BF7FBA" w:rsidRDefault="00EA6E16" w:rsidP="00EA6E16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7FBA">
              <w:rPr>
                <w:rFonts w:asciiTheme="minorHAnsi" w:hAnsiTheme="minorHAnsi" w:cstheme="minorHAnsi"/>
                <w:sz w:val="22"/>
                <w:szCs w:val="22"/>
              </w:rPr>
              <w:t xml:space="preserve"> Jefatura d</w:t>
            </w:r>
            <w:r w:rsidR="00BF7FBA">
              <w:rPr>
                <w:rFonts w:asciiTheme="minorHAnsi" w:hAnsiTheme="minorHAnsi" w:cstheme="minorHAnsi"/>
                <w:sz w:val="22"/>
                <w:szCs w:val="22"/>
              </w:rPr>
              <w:t xml:space="preserve">e lo </w:t>
            </w:r>
            <w:r w:rsidR="00C01683">
              <w:rPr>
                <w:rFonts w:asciiTheme="minorHAnsi" w:hAnsiTheme="minorHAnsi" w:cstheme="minorHAnsi"/>
                <w:sz w:val="22"/>
                <w:szCs w:val="22"/>
              </w:rPr>
              <w:t>Contencioso Administra</w:t>
            </w:r>
            <w:r w:rsidR="001F7CD6">
              <w:rPr>
                <w:rFonts w:asciiTheme="minorHAnsi" w:hAnsiTheme="minorHAnsi" w:cstheme="minorHAnsi"/>
                <w:sz w:val="22"/>
                <w:szCs w:val="22"/>
              </w:rPr>
              <w:t>tivo- Administrativos Internos</w:t>
            </w:r>
            <w:r w:rsidR="005D3C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F7CD6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  <w:p w:rsidR="00C01683" w:rsidRDefault="00C01683" w:rsidP="00EA6E16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E16" w:rsidRPr="00BF7FBA" w:rsidRDefault="00EA6E16" w:rsidP="00EA6E16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7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039">
              <w:rPr>
                <w:rFonts w:asciiTheme="minorHAnsi" w:eastAsia="Times New Roman" w:hAnsiTheme="minorHAnsi" w:cstheme="minorHAnsi"/>
                <w:sz w:val="22"/>
                <w:szCs w:val="22"/>
              </w:rPr>
              <w:t>Asesorías  23</w:t>
            </w:r>
          </w:p>
          <w:p w:rsidR="00A316F5" w:rsidRPr="00EA6E16" w:rsidRDefault="00A316F5" w:rsidP="00506A61">
            <w:pPr>
              <w:jc w:val="center"/>
              <w:rPr>
                <w:lang w:val="es-ES"/>
              </w:rPr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BF7FBA" w:rsidRPr="00BF7FBA" w:rsidRDefault="00BF7FBA" w:rsidP="00BF7FBA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rocesos realizados </w:t>
            </w:r>
            <w:r w:rsidRPr="00BF7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BF7FBA">
              <w:rPr>
                <w:rFonts w:asciiTheme="minorHAnsi" w:hAnsiTheme="minorHAnsi" w:cstheme="minorHAnsi"/>
                <w:sz w:val="22"/>
                <w:szCs w:val="22"/>
              </w:rPr>
              <w:t xml:space="preserve"> las áreas que integran 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Dirección General Jurídica:</w:t>
            </w:r>
          </w:p>
          <w:p w:rsidR="00BF7FBA" w:rsidRDefault="00BF7FBA" w:rsidP="00BF7FBA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7FBA">
              <w:rPr>
                <w:rFonts w:asciiTheme="minorHAnsi" w:hAnsiTheme="minorHAnsi" w:cstheme="minorHAnsi"/>
                <w:sz w:val="22"/>
                <w:szCs w:val="22"/>
              </w:rPr>
              <w:t xml:space="preserve"> Jefatura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lo </w:t>
            </w:r>
            <w:r w:rsidR="00C01683">
              <w:rPr>
                <w:rFonts w:asciiTheme="minorHAnsi" w:hAnsiTheme="minorHAnsi" w:cstheme="minorHAnsi"/>
                <w:sz w:val="22"/>
                <w:szCs w:val="22"/>
              </w:rPr>
              <w:t>Contencioso Administrati</w:t>
            </w:r>
            <w:r w:rsidR="001F7CD6">
              <w:rPr>
                <w:rFonts w:asciiTheme="minorHAnsi" w:hAnsiTheme="minorHAnsi" w:cstheme="minorHAnsi"/>
                <w:sz w:val="22"/>
                <w:szCs w:val="22"/>
              </w:rPr>
              <w:t>vo- Administrativos Internos-- 72</w:t>
            </w:r>
          </w:p>
          <w:p w:rsidR="004A6089" w:rsidRDefault="004A6089" w:rsidP="00BF7FBA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6F5" w:rsidRDefault="00BF7FBA" w:rsidP="00982039">
            <w:pPr>
              <w:pStyle w:val="Sinespaciado"/>
              <w:spacing w:line="276" w:lineRule="auto"/>
              <w:jc w:val="both"/>
            </w:pPr>
            <w:r w:rsidRPr="00BF7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039">
              <w:rPr>
                <w:rFonts w:asciiTheme="minorHAnsi" w:hAnsiTheme="minorHAnsi" w:cstheme="minorHAnsi"/>
                <w:b/>
                <w:sz w:val="22"/>
                <w:szCs w:val="22"/>
              </w:rPr>
              <w:t>Asesorías 176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FD483F" w:rsidP="00506A61">
            <w:pPr>
              <w:jc w:val="both"/>
            </w:pPr>
            <w:r>
              <w:t>Proceso legal</w:t>
            </w:r>
            <w:r w:rsidR="00742FF7">
              <w:t xml:space="preserve"> en trámite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BF7FBA" w:rsidP="00850300">
            <w:pPr>
              <w:jc w:val="both"/>
            </w:pPr>
            <w:r>
              <w:rPr>
                <w:rFonts w:cstheme="minorHAnsi"/>
              </w:rPr>
              <w:t>M</w:t>
            </w:r>
            <w:r w:rsidRPr="00B11471">
              <w:rPr>
                <w:rFonts w:cstheme="minorHAnsi"/>
              </w:rPr>
              <w:t xml:space="preserve">étodos </w:t>
            </w:r>
            <w:r w:rsidRPr="00B11471">
              <w:rPr>
                <w:rFonts w:eastAsia="Times New Roman" w:cstheme="minorHAnsi"/>
              </w:rPr>
              <w:t>de la praxis legal que corre</w:t>
            </w:r>
            <w:r w:rsidR="00850300">
              <w:rPr>
                <w:rFonts w:eastAsia="Times New Roman" w:cstheme="minorHAnsi"/>
              </w:rPr>
              <w:t>sponde a</w:t>
            </w:r>
            <w:r w:rsidRPr="00B11471">
              <w:rPr>
                <w:rFonts w:eastAsia="Times New Roman" w:cstheme="minorHAnsi"/>
              </w:rPr>
              <w:t xml:space="preserve"> la materia</w:t>
            </w:r>
            <w:r w:rsidR="00A569B9">
              <w:rPr>
                <w:rFonts w:eastAsia="Times New Roman" w:cstheme="minorHAnsi"/>
              </w:rPr>
              <w:t xml:space="preserve"> Administrativa</w:t>
            </w:r>
            <w:r w:rsidR="00850300">
              <w:rPr>
                <w:rFonts w:eastAsia="Times New Roman" w:cstheme="minorHAnsi"/>
              </w:rPr>
              <w:t>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7832FD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7832FD"/>
        </w:tc>
      </w:tr>
    </w:tbl>
    <w:p w:rsidR="00B11471" w:rsidRDefault="00B11471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</w:t>
            </w:r>
            <w:r w:rsidR="00B42C15">
              <w:rPr>
                <w:b/>
              </w:rPr>
              <w:t>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EE1232" w:rsidRDefault="00B11471" w:rsidP="00EE1232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1471">
              <w:rPr>
                <w:rFonts w:asciiTheme="minorHAnsi" w:hAnsiTheme="minorHAnsi" w:cstheme="minorHAnsi"/>
                <w:sz w:val="22"/>
                <w:szCs w:val="22"/>
              </w:rPr>
              <w:t xml:space="preserve">Los métodos </w:t>
            </w:r>
            <w:r w:rsidRPr="00B11471">
              <w:rPr>
                <w:rFonts w:asciiTheme="minorHAnsi" w:eastAsia="Times New Roman" w:hAnsiTheme="minorHAnsi" w:cstheme="minorHAnsi"/>
                <w:sz w:val="22"/>
                <w:szCs w:val="22"/>
              </w:rPr>
              <w:t>de la praxis legal que corresponda</w:t>
            </w:r>
            <w:r w:rsidR="0070464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</w:t>
            </w:r>
            <w:r w:rsidRPr="00B1147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 materia que lo requiera esto es, Mercantil, Civil, Administrativo, Penal, Quejas, Amparos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B11471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B1147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D502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7D502B" w:rsidRPr="00B11471" w:rsidRDefault="007D502B" w:rsidP="00EE1232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Contestación de demandas, elaboración de acuerdos</w:t>
            </w:r>
          </w:p>
        </w:tc>
        <w:tc>
          <w:tcPr>
            <w:tcW w:w="240" w:type="pct"/>
            <w:shd w:val="clear" w:color="auto" w:fill="auto"/>
          </w:tcPr>
          <w:p w:rsidR="007D502B" w:rsidRPr="007D502B" w:rsidRDefault="007D502B" w:rsidP="004E1777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D502B" w:rsidRDefault="007D502B" w:rsidP="007D502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D502B" w:rsidRDefault="007D502B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D502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7D502B" w:rsidRDefault="007D502B" w:rsidP="007D502B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Asistencia a celebración de Audiencias Judiciales y Administrativas</w:t>
            </w:r>
          </w:p>
        </w:tc>
        <w:tc>
          <w:tcPr>
            <w:tcW w:w="240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D502B" w:rsidRDefault="007D502B" w:rsidP="007D502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D502B" w:rsidRDefault="007D502B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D502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7D502B" w:rsidRDefault="007D502B" w:rsidP="007D502B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Inspecciones Oculares </w:t>
            </w:r>
          </w:p>
        </w:tc>
        <w:tc>
          <w:tcPr>
            <w:tcW w:w="240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D502B" w:rsidRDefault="007D502B" w:rsidP="007D502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D502B" w:rsidRDefault="007D502B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D502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7D502B" w:rsidRDefault="007D502B" w:rsidP="007D502B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Elaboración de resoluciones</w:t>
            </w:r>
          </w:p>
        </w:tc>
        <w:tc>
          <w:tcPr>
            <w:tcW w:w="240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D502B" w:rsidRDefault="007D502B" w:rsidP="007D502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D502B" w:rsidRDefault="007D502B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D502B" w:rsidRDefault="007D50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C69C6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6C69C6" w:rsidRDefault="006C69C6" w:rsidP="007D502B">
            <w:pPr>
              <w:pStyle w:val="Sinespaciad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Asesorías a la ciudadanía del municipio y zona metropolitana</w:t>
            </w:r>
          </w:p>
        </w:tc>
        <w:tc>
          <w:tcPr>
            <w:tcW w:w="240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C69C6" w:rsidRDefault="006C69C6" w:rsidP="007D502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C69C6" w:rsidRDefault="006C69C6" w:rsidP="007832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C69C6" w:rsidRDefault="006C69C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1701"/>
        <w:gridCol w:w="2551"/>
      </w:tblGrid>
      <w:tr w:rsidR="0042122F" w:rsidTr="00B42C15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783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783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B42C15">
        <w:trPr>
          <w:trHeight w:val="232"/>
        </w:trPr>
        <w:tc>
          <w:tcPr>
            <w:tcW w:w="1526" w:type="dxa"/>
            <w:vMerge/>
          </w:tcPr>
          <w:p w:rsidR="0042122F" w:rsidRDefault="0042122F" w:rsidP="007832F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7832FD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7832F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783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7832F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7832F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701" w:type="dxa"/>
            <w:vMerge/>
          </w:tcPr>
          <w:p w:rsidR="0042122F" w:rsidRDefault="0042122F" w:rsidP="007832FD">
            <w:pPr>
              <w:rPr>
                <w:i/>
                <w:sz w:val="16"/>
              </w:rPr>
            </w:pPr>
          </w:p>
        </w:tc>
        <w:tc>
          <w:tcPr>
            <w:tcW w:w="2551" w:type="dxa"/>
            <w:vMerge/>
          </w:tcPr>
          <w:p w:rsidR="0042122F" w:rsidRDefault="0042122F" w:rsidP="007832FD">
            <w:pPr>
              <w:rPr>
                <w:i/>
                <w:sz w:val="16"/>
              </w:rPr>
            </w:pPr>
          </w:p>
        </w:tc>
      </w:tr>
      <w:tr w:rsidR="0042122F" w:rsidTr="00B42C15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EE1232" w:rsidP="00EE123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Nomina Dirección General Jurídica </w:t>
            </w: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9422F8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:rsidR="00EE1232" w:rsidRPr="00EE1232" w:rsidRDefault="00EE1232" w:rsidP="00EE1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1232" w:rsidRDefault="00EE1232" w:rsidP="00EE123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232">
              <w:rPr>
                <w:rFonts w:ascii="Arial" w:hAnsi="Arial" w:cs="Arial"/>
                <w:sz w:val="16"/>
                <w:szCs w:val="16"/>
              </w:rPr>
              <w:t>Comisionados</w:t>
            </w:r>
            <w:r w:rsidR="009422F8">
              <w:rPr>
                <w:rFonts w:ascii="Arial" w:hAnsi="Arial" w:cs="Arial"/>
                <w:sz w:val="16"/>
                <w:szCs w:val="16"/>
              </w:rPr>
              <w:t>—</w:t>
            </w:r>
            <w:r w:rsidR="009422F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976E2A" w:rsidRDefault="00976E2A" w:rsidP="00EE123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6E2A" w:rsidRPr="00FF63B4" w:rsidRDefault="00976E2A" w:rsidP="00EE123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Contrato 1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  <w:r w:rsidR="00EE1232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EE1232" w:rsidRPr="00EE1232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EE123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Variable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1147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7832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2551" w:type="dxa"/>
            <w:vMerge w:val="restart"/>
          </w:tcPr>
          <w:p w:rsidR="0042122F" w:rsidRDefault="00B11471" w:rsidP="00E91F9A">
            <w:pPr>
              <w:jc w:val="both"/>
              <w:rPr>
                <w:sz w:val="18"/>
              </w:rPr>
            </w:pPr>
            <w:r>
              <w:rPr>
                <w:sz w:val="18"/>
              </w:rPr>
              <w:t>La Dirección General Jurídica no maneja fondo revolvente</w:t>
            </w:r>
          </w:p>
          <w:p w:rsidR="00E91F9A" w:rsidRDefault="00E91F9A" w:rsidP="00E91F9A">
            <w:pPr>
              <w:jc w:val="both"/>
              <w:rPr>
                <w:sz w:val="18"/>
              </w:rPr>
            </w:pPr>
          </w:p>
          <w:p w:rsidR="00E91F9A" w:rsidRPr="006F1A5C" w:rsidRDefault="00E91F9A" w:rsidP="00E91F9A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apoya de gastos a comprobar los cuales son variables según el tramite requerido</w:t>
            </w:r>
            <w:r w:rsidR="00A569B9">
              <w:rPr>
                <w:sz w:val="18"/>
              </w:rPr>
              <w:t xml:space="preserve"> como son la</w:t>
            </w:r>
            <w:r>
              <w:rPr>
                <w:sz w:val="18"/>
              </w:rPr>
              <w:t xml:space="preserve"> certificación de documentos por notario, copias de los acuerdos de Juzgados, Diligencias </w:t>
            </w:r>
            <w:proofErr w:type="spellStart"/>
            <w:r>
              <w:rPr>
                <w:sz w:val="18"/>
              </w:rPr>
              <w:t>Foraneas</w:t>
            </w:r>
            <w:proofErr w:type="spellEnd"/>
          </w:p>
        </w:tc>
      </w:tr>
      <w:tr w:rsidR="0042122F" w:rsidTr="00B42C15">
        <w:tc>
          <w:tcPr>
            <w:tcW w:w="1526" w:type="dxa"/>
            <w:vMerge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419E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Variable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1147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42122F" w:rsidRPr="00FF63B4" w:rsidRDefault="0042122F" w:rsidP="007832FD">
            <w:pPr>
              <w:rPr>
                <w:i/>
                <w:sz w:val="18"/>
              </w:rPr>
            </w:pPr>
          </w:p>
        </w:tc>
      </w:tr>
      <w:tr w:rsidR="0042122F" w:rsidTr="00B42C15">
        <w:tc>
          <w:tcPr>
            <w:tcW w:w="1526" w:type="dxa"/>
            <w:vMerge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C69C6" w:rsidRPr="006C69C6" w:rsidRDefault="0042122F" w:rsidP="00B42C15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Computadoras empleadas para éste </w:t>
            </w:r>
          </w:p>
          <w:p w:rsidR="000A0737" w:rsidRDefault="000A0737" w:rsidP="007832FD">
            <w:pPr>
              <w:rPr>
                <w:rFonts w:ascii="Arial" w:hAnsi="Arial" w:cs="Arial"/>
                <w:sz w:val="18"/>
                <w:szCs w:val="20"/>
              </w:rPr>
            </w:pPr>
          </w:p>
          <w:p w:rsidR="007F293E" w:rsidRDefault="000A0737" w:rsidP="007832F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B2763D" w:rsidRPr="007F293E" w:rsidRDefault="00B2763D" w:rsidP="007832F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42122F" w:rsidRPr="00FF63B4" w:rsidRDefault="0039728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1147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42122F" w:rsidRPr="00FF63B4" w:rsidRDefault="0042122F" w:rsidP="007832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42122F" w:rsidRPr="00FF63B4" w:rsidRDefault="0042122F" w:rsidP="007832FD">
            <w:pPr>
              <w:rPr>
                <w:i/>
                <w:sz w:val="18"/>
              </w:rPr>
            </w:pPr>
          </w:p>
        </w:tc>
      </w:tr>
    </w:tbl>
    <w:p w:rsidR="00B42C15" w:rsidRDefault="00B42C15" w:rsidP="00B42C15">
      <w:pPr>
        <w:rPr>
          <w:rFonts w:ascii="Arial" w:hAnsi="Arial" w:cs="Arial"/>
          <w:b/>
          <w:sz w:val="18"/>
          <w:szCs w:val="20"/>
        </w:rPr>
      </w:pPr>
      <w:r w:rsidRPr="00FF63B4">
        <w:rPr>
          <w:rFonts w:ascii="Arial" w:hAnsi="Arial" w:cs="Arial"/>
          <w:sz w:val="18"/>
          <w:szCs w:val="20"/>
        </w:rPr>
        <w:t>PPSC</w:t>
      </w:r>
      <w:r>
        <w:rPr>
          <w:rFonts w:ascii="Arial" w:hAnsi="Arial" w:cs="Arial"/>
          <w:sz w:val="18"/>
          <w:szCs w:val="20"/>
        </w:rPr>
        <w:t xml:space="preserve">          </w:t>
      </w:r>
      <w:r>
        <w:rPr>
          <w:rFonts w:ascii="Arial" w:hAnsi="Arial" w:cs="Arial"/>
          <w:b/>
          <w:sz w:val="18"/>
          <w:szCs w:val="20"/>
        </w:rPr>
        <w:t>(11) equipos de computación en mal estado, algunos abogados trabajan con equipos de computación de su propiedad.</w:t>
      </w:r>
    </w:p>
    <w:p w:rsidR="00B42C15" w:rsidRDefault="00B42C15" w:rsidP="00B42C15">
      <w:pPr>
        <w:rPr>
          <w:rFonts w:ascii="Arial" w:hAnsi="Arial" w:cs="Arial"/>
          <w:b/>
          <w:sz w:val="18"/>
          <w:szCs w:val="20"/>
        </w:rPr>
      </w:pPr>
    </w:p>
    <w:p w:rsidR="00B42C15" w:rsidRDefault="00B42C15" w:rsidP="00B42C15">
      <w:pPr>
        <w:rPr>
          <w:rFonts w:ascii="Arial" w:hAnsi="Arial" w:cs="Arial"/>
          <w:sz w:val="18"/>
          <w:szCs w:val="20"/>
        </w:rPr>
      </w:pPr>
      <w:r w:rsidRPr="007F293E">
        <w:rPr>
          <w:rFonts w:ascii="Arial" w:hAnsi="Arial" w:cs="Arial"/>
          <w:b/>
          <w:sz w:val="18"/>
          <w:szCs w:val="20"/>
        </w:rPr>
        <w:lastRenderedPageBreak/>
        <w:t>Material de</w:t>
      </w:r>
      <w:r>
        <w:rPr>
          <w:rFonts w:ascii="Arial" w:hAnsi="Arial" w:cs="Arial"/>
          <w:b/>
          <w:sz w:val="18"/>
          <w:szCs w:val="20"/>
        </w:rPr>
        <w:t xml:space="preserve"> oficina autorizado por la Dirección de Proveeduría insuficiente, </w:t>
      </w:r>
      <w:r w:rsidRPr="00B2763D">
        <w:rPr>
          <w:rFonts w:ascii="Arial" w:hAnsi="Arial" w:cs="Arial"/>
          <w:sz w:val="18"/>
          <w:szCs w:val="20"/>
        </w:rPr>
        <w:t>se autoriza mensualmente 4 paquetes de hojas tamaño carta, 4 paquetes de hojas tamaño oficio, 12 lápices mirado, cuatro cajas de 1OO clips, 12 plumas varios colores, 7 marca</w:t>
      </w:r>
      <w:r>
        <w:rPr>
          <w:rFonts w:ascii="Arial" w:hAnsi="Arial" w:cs="Arial"/>
          <w:sz w:val="18"/>
          <w:szCs w:val="20"/>
        </w:rPr>
        <w:t xml:space="preserve"> </w:t>
      </w:r>
      <w:r w:rsidRPr="00B2763D">
        <w:rPr>
          <w:rFonts w:ascii="Arial" w:hAnsi="Arial" w:cs="Arial"/>
          <w:sz w:val="18"/>
          <w:szCs w:val="20"/>
        </w:rPr>
        <w:t>textos</w:t>
      </w:r>
      <w:r>
        <w:rPr>
          <w:rFonts w:ascii="Arial" w:hAnsi="Arial" w:cs="Arial"/>
          <w:sz w:val="18"/>
          <w:szCs w:val="20"/>
        </w:rPr>
        <w:t xml:space="preserve">, 03 lápiz adhesivo </w:t>
      </w:r>
      <w:proofErr w:type="spellStart"/>
      <w:r>
        <w:rPr>
          <w:rFonts w:ascii="Arial" w:hAnsi="Arial" w:cs="Arial"/>
          <w:sz w:val="18"/>
          <w:szCs w:val="20"/>
        </w:rPr>
        <w:t>resistol</w:t>
      </w:r>
      <w:proofErr w:type="spellEnd"/>
      <w:r>
        <w:rPr>
          <w:rFonts w:ascii="Arial" w:hAnsi="Arial" w:cs="Arial"/>
          <w:sz w:val="18"/>
          <w:szCs w:val="20"/>
        </w:rPr>
        <w:t>, dos reglas, 1 tijeras, cinta adhesiva 2, engrapadoras 1.</w:t>
      </w:r>
    </w:p>
    <w:p w:rsidR="00B42C15" w:rsidRDefault="00B42C15" w:rsidP="00B42C15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Bienes de Activo Fijo inventario.</w:t>
      </w:r>
    </w:p>
    <w:p w:rsidR="00B42C15" w:rsidRDefault="00B42C15" w:rsidP="00B42C15">
      <w:pPr>
        <w:rPr>
          <w:rFonts w:ascii="Arial" w:hAnsi="Arial" w:cs="Arial"/>
          <w:sz w:val="18"/>
          <w:szCs w:val="20"/>
        </w:rPr>
      </w:pPr>
      <w:r w:rsidRPr="006C69C6">
        <w:rPr>
          <w:rFonts w:ascii="Arial" w:hAnsi="Arial" w:cs="Arial"/>
          <w:b/>
          <w:sz w:val="18"/>
          <w:szCs w:val="20"/>
        </w:rPr>
        <w:t xml:space="preserve">Sillas----- 21 </w:t>
      </w:r>
      <w:r>
        <w:rPr>
          <w:rFonts w:ascii="Arial" w:hAnsi="Arial" w:cs="Arial"/>
          <w:sz w:val="18"/>
          <w:szCs w:val="20"/>
        </w:rPr>
        <w:t xml:space="preserve">  en mal estado, además faltan por la cantidad de abogados.</w:t>
      </w:r>
    </w:p>
    <w:p w:rsidR="00B42C15" w:rsidRDefault="00B42C15" w:rsidP="00B42C15">
      <w:pPr>
        <w:rPr>
          <w:rFonts w:ascii="Arial" w:hAnsi="Arial" w:cs="Arial"/>
          <w:sz w:val="18"/>
          <w:szCs w:val="20"/>
        </w:rPr>
      </w:pPr>
      <w:r w:rsidRPr="006C69C6">
        <w:rPr>
          <w:rFonts w:ascii="Arial" w:hAnsi="Arial" w:cs="Arial"/>
          <w:b/>
          <w:sz w:val="18"/>
          <w:szCs w:val="20"/>
        </w:rPr>
        <w:t>Archiveros metálicos----</w:t>
      </w:r>
      <w:r>
        <w:rPr>
          <w:rFonts w:ascii="Arial" w:hAnsi="Arial" w:cs="Arial"/>
          <w:sz w:val="18"/>
          <w:szCs w:val="20"/>
        </w:rPr>
        <w:t xml:space="preserve">  7 en mal </w:t>
      </w:r>
      <w:proofErr w:type="gramStart"/>
      <w:r>
        <w:rPr>
          <w:rFonts w:ascii="Arial" w:hAnsi="Arial" w:cs="Arial"/>
          <w:sz w:val="18"/>
          <w:szCs w:val="20"/>
        </w:rPr>
        <w:t>estado desoldados</w:t>
      </w:r>
      <w:proofErr w:type="gramEnd"/>
      <w:r>
        <w:rPr>
          <w:rFonts w:ascii="Arial" w:hAnsi="Arial" w:cs="Arial"/>
          <w:sz w:val="18"/>
          <w:szCs w:val="20"/>
        </w:rPr>
        <w:t xml:space="preserve"> y la cantidad insuficientes para la cantidad de expedientes en resguardo</w:t>
      </w:r>
    </w:p>
    <w:p w:rsidR="00B42C15" w:rsidRPr="006C69C6" w:rsidRDefault="00B42C15" w:rsidP="00B42C15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Archiveros de aglomerado –3 </w:t>
      </w:r>
      <w:r>
        <w:rPr>
          <w:rFonts w:ascii="Arial" w:hAnsi="Arial" w:cs="Arial"/>
          <w:sz w:val="18"/>
          <w:szCs w:val="20"/>
        </w:rPr>
        <w:t xml:space="preserve"> en mal estado desfundados, cantidad insuficiente para la cantidad de expedientes en resguardo.</w:t>
      </w:r>
    </w:p>
    <w:p w:rsidR="003F1474" w:rsidRDefault="003F1474" w:rsidP="00212E94">
      <w:pPr>
        <w:rPr>
          <w:i/>
          <w:sz w:val="16"/>
        </w:rPr>
      </w:pPr>
    </w:p>
    <w:sectPr w:rsidR="003F1474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63" w:rsidRDefault="00492863" w:rsidP="00831F7E">
      <w:pPr>
        <w:spacing w:after="0" w:line="240" w:lineRule="auto"/>
      </w:pPr>
      <w:r>
        <w:separator/>
      </w:r>
    </w:p>
  </w:endnote>
  <w:endnote w:type="continuationSeparator" w:id="1">
    <w:p w:rsidR="00492863" w:rsidRDefault="0049286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63" w:rsidRDefault="00492863" w:rsidP="00831F7E">
      <w:pPr>
        <w:spacing w:after="0" w:line="240" w:lineRule="auto"/>
      </w:pPr>
      <w:r>
        <w:separator/>
      </w:r>
    </w:p>
  </w:footnote>
  <w:footnote w:type="continuationSeparator" w:id="1">
    <w:p w:rsidR="00492863" w:rsidRDefault="0049286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5207"/>
    <w:rsid w:val="000473B9"/>
    <w:rsid w:val="00047523"/>
    <w:rsid w:val="00077A68"/>
    <w:rsid w:val="00084464"/>
    <w:rsid w:val="00087EE7"/>
    <w:rsid w:val="00094BAF"/>
    <w:rsid w:val="000A0737"/>
    <w:rsid w:val="000C70C7"/>
    <w:rsid w:val="000D0701"/>
    <w:rsid w:val="000D078C"/>
    <w:rsid w:val="000D5483"/>
    <w:rsid w:val="000D76A0"/>
    <w:rsid w:val="000E7D2C"/>
    <w:rsid w:val="000F14EB"/>
    <w:rsid w:val="00102EE2"/>
    <w:rsid w:val="00107609"/>
    <w:rsid w:val="0011248D"/>
    <w:rsid w:val="00115B5F"/>
    <w:rsid w:val="00121462"/>
    <w:rsid w:val="00125356"/>
    <w:rsid w:val="00135926"/>
    <w:rsid w:val="001451B0"/>
    <w:rsid w:val="00145F76"/>
    <w:rsid w:val="0015123E"/>
    <w:rsid w:val="00153BBB"/>
    <w:rsid w:val="00163AC8"/>
    <w:rsid w:val="001833CF"/>
    <w:rsid w:val="00191343"/>
    <w:rsid w:val="00195B59"/>
    <w:rsid w:val="001A5007"/>
    <w:rsid w:val="001A5139"/>
    <w:rsid w:val="001C1D2F"/>
    <w:rsid w:val="001D2A9F"/>
    <w:rsid w:val="001D4E0E"/>
    <w:rsid w:val="001F5482"/>
    <w:rsid w:val="001F5B4A"/>
    <w:rsid w:val="001F7CD6"/>
    <w:rsid w:val="00206A78"/>
    <w:rsid w:val="00210791"/>
    <w:rsid w:val="00212E94"/>
    <w:rsid w:val="0021498C"/>
    <w:rsid w:val="0022207C"/>
    <w:rsid w:val="00234D3D"/>
    <w:rsid w:val="00244BBA"/>
    <w:rsid w:val="00283259"/>
    <w:rsid w:val="0028733C"/>
    <w:rsid w:val="002A55D9"/>
    <w:rsid w:val="002B2543"/>
    <w:rsid w:val="002C48EE"/>
    <w:rsid w:val="002C658C"/>
    <w:rsid w:val="002D2FAC"/>
    <w:rsid w:val="002D4C63"/>
    <w:rsid w:val="002E08B6"/>
    <w:rsid w:val="002E5CCC"/>
    <w:rsid w:val="002F099C"/>
    <w:rsid w:val="003409C9"/>
    <w:rsid w:val="00354265"/>
    <w:rsid w:val="0035529E"/>
    <w:rsid w:val="00361D50"/>
    <w:rsid w:val="003751A7"/>
    <w:rsid w:val="0038034B"/>
    <w:rsid w:val="003812B5"/>
    <w:rsid w:val="00393FB9"/>
    <w:rsid w:val="0039728D"/>
    <w:rsid w:val="003978F6"/>
    <w:rsid w:val="003C3FD5"/>
    <w:rsid w:val="003C42A3"/>
    <w:rsid w:val="003F1474"/>
    <w:rsid w:val="003F1857"/>
    <w:rsid w:val="00414D92"/>
    <w:rsid w:val="00415510"/>
    <w:rsid w:val="0042122F"/>
    <w:rsid w:val="00442093"/>
    <w:rsid w:val="00453D56"/>
    <w:rsid w:val="004840BF"/>
    <w:rsid w:val="00485EB9"/>
    <w:rsid w:val="00492863"/>
    <w:rsid w:val="004A06C5"/>
    <w:rsid w:val="004A6089"/>
    <w:rsid w:val="004B17E0"/>
    <w:rsid w:val="004D73DA"/>
    <w:rsid w:val="004E1777"/>
    <w:rsid w:val="004E5503"/>
    <w:rsid w:val="00506A61"/>
    <w:rsid w:val="00507023"/>
    <w:rsid w:val="005132E8"/>
    <w:rsid w:val="005170A4"/>
    <w:rsid w:val="00526EFA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2C9C"/>
    <w:rsid w:val="00593156"/>
    <w:rsid w:val="005941EE"/>
    <w:rsid w:val="00597192"/>
    <w:rsid w:val="005A4501"/>
    <w:rsid w:val="005A48A2"/>
    <w:rsid w:val="005B0884"/>
    <w:rsid w:val="005B6A6B"/>
    <w:rsid w:val="005B7B26"/>
    <w:rsid w:val="005C68D7"/>
    <w:rsid w:val="005C6958"/>
    <w:rsid w:val="005D168F"/>
    <w:rsid w:val="005D3CE9"/>
    <w:rsid w:val="005D6B0E"/>
    <w:rsid w:val="005E58EB"/>
    <w:rsid w:val="005F04CD"/>
    <w:rsid w:val="0060146C"/>
    <w:rsid w:val="00605675"/>
    <w:rsid w:val="00621E3A"/>
    <w:rsid w:val="006235EC"/>
    <w:rsid w:val="0062659F"/>
    <w:rsid w:val="00640878"/>
    <w:rsid w:val="00644413"/>
    <w:rsid w:val="00650F82"/>
    <w:rsid w:val="00663511"/>
    <w:rsid w:val="006637AB"/>
    <w:rsid w:val="00663E7F"/>
    <w:rsid w:val="0068316A"/>
    <w:rsid w:val="00691B6A"/>
    <w:rsid w:val="00697266"/>
    <w:rsid w:val="006C1395"/>
    <w:rsid w:val="006C4E80"/>
    <w:rsid w:val="006C69C6"/>
    <w:rsid w:val="006E48D8"/>
    <w:rsid w:val="006F0539"/>
    <w:rsid w:val="006F0993"/>
    <w:rsid w:val="006F1A5C"/>
    <w:rsid w:val="00700C4B"/>
    <w:rsid w:val="007031DE"/>
    <w:rsid w:val="0070464D"/>
    <w:rsid w:val="00710198"/>
    <w:rsid w:val="007266B3"/>
    <w:rsid w:val="00741539"/>
    <w:rsid w:val="00742FF7"/>
    <w:rsid w:val="00754865"/>
    <w:rsid w:val="00762157"/>
    <w:rsid w:val="00775E30"/>
    <w:rsid w:val="007832FD"/>
    <w:rsid w:val="00794ACD"/>
    <w:rsid w:val="007A47F9"/>
    <w:rsid w:val="007D502B"/>
    <w:rsid w:val="007D55F2"/>
    <w:rsid w:val="007D5EB6"/>
    <w:rsid w:val="007E1B4E"/>
    <w:rsid w:val="007F293E"/>
    <w:rsid w:val="00803C8A"/>
    <w:rsid w:val="008109F0"/>
    <w:rsid w:val="00831976"/>
    <w:rsid w:val="00831F7E"/>
    <w:rsid w:val="008353B2"/>
    <w:rsid w:val="00850300"/>
    <w:rsid w:val="00865183"/>
    <w:rsid w:val="0087269A"/>
    <w:rsid w:val="008823BE"/>
    <w:rsid w:val="008A2037"/>
    <w:rsid w:val="008B03B5"/>
    <w:rsid w:val="008C7542"/>
    <w:rsid w:val="008D1CEE"/>
    <w:rsid w:val="008D3779"/>
    <w:rsid w:val="008D3FDC"/>
    <w:rsid w:val="008E3B08"/>
    <w:rsid w:val="008F71F3"/>
    <w:rsid w:val="00901996"/>
    <w:rsid w:val="009109C2"/>
    <w:rsid w:val="00915E01"/>
    <w:rsid w:val="009170D4"/>
    <w:rsid w:val="00924A6B"/>
    <w:rsid w:val="009269F6"/>
    <w:rsid w:val="009422F8"/>
    <w:rsid w:val="00944212"/>
    <w:rsid w:val="0095054C"/>
    <w:rsid w:val="0095351C"/>
    <w:rsid w:val="009536D5"/>
    <w:rsid w:val="00954351"/>
    <w:rsid w:val="00976E2A"/>
    <w:rsid w:val="00982039"/>
    <w:rsid w:val="00991771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3A68"/>
    <w:rsid w:val="00A25173"/>
    <w:rsid w:val="00A316F5"/>
    <w:rsid w:val="00A43C95"/>
    <w:rsid w:val="00A465A0"/>
    <w:rsid w:val="00A53855"/>
    <w:rsid w:val="00A54029"/>
    <w:rsid w:val="00A569B9"/>
    <w:rsid w:val="00A57343"/>
    <w:rsid w:val="00A65F50"/>
    <w:rsid w:val="00AA4922"/>
    <w:rsid w:val="00AB52C1"/>
    <w:rsid w:val="00AD1A20"/>
    <w:rsid w:val="00AD4ED4"/>
    <w:rsid w:val="00AD667C"/>
    <w:rsid w:val="00AF641E"/>
    <w:rsid w:val="00AF730C"/>
    <w:rsid w:val="00B11471"/>
    <w:rsid w:val="00B14E65"/>
    <w:rsid w:val="00B1501F"/>
    <w:rsid w:val="00B2763D"/>
    <w:rsid w:val="00B42C15"/>
    <w:rsid w:val="00B44A80"/>
    <w:rsid w:val="00B62EF9"/>
    <w:rsid w:val="00B71F35"/>
    <w:rsid w:val="00B921CD"/>
    <w:rsid w:val="00BD454F"/>
    <w:rsid w:val="00BE28A4"/>
    <w:rsid w:val="00BF4795"/>
    <w:rsid w:val="00BF7FBA"/>
    <w:rsid w:val="00C01683"/>
    <w:rsid w:val="00C05FC8"/>
    <w:rsid w:val="00C12013"/>
    <w:rsid w:val="00C22639"/>
    <w:rsid w:val="00C31B28"/>
    <w:rsid w:val="00C3208D"/>
    <w:rsid w:val="00C517DC"/>
    <w:rsid w:val="00C73492"/>
    <w:rsid w:val="00C80FAF"/>
    <w:rsid w:val="00C81B35"/>
    <w:rsid w:val="00C96E26"/>
    <w:rsid w:val="00CB23FD"/>
    <w:rsid w:val="00CF6EAC"/>
    <w:rsid w:val="00D0190B"/>
    <w:rsid w:val="00D22792"/>
    <w:rsid w:val="00D30CC3"/>
    <w:rsid w:val="00D3511F"/>
    <w:rsid w:val="00D419E5"/>
    <w:rsid w:val="00D50738"/>
    <w:rsid w:val="00D61342"/>
    <w:rsid w:val="00D81A12"/>
    <w:rsid w:val="00DA1F68"/>
    <w:rsid w:val="00DA31BD"/>
    <w:rsid w:val="00DB0FA4"/>
    <w:rsid w:val="00DC13B1"/>
    <w:rsid w:val="00DC1D18"/>
    <w:rsid w:val="00DF3242"/>
    <w:rsid w:val="00E0231C"/>
    <w:rsid w:val="00E25B0A"/>
    <w:rsid w:val="00E30C7A"/>
    <w:rsid w:val="00E32044"/>
    <w:rsid w:val="00E4291D"/>
    <w:rsid w:val="00E57798"/>
    <w:rsid w:val="00E62600"/>
    <w:rsid w:val="00E6571B"/>
    <w:rsid w:val="00E81D19"/>
    <w:rsid w:val="00E82C33"/>
    <w:rsid w:val="00E91F9A"/>
    <w:rsid w:val="00EA6E16"/>
    <w:rsid w:val="00EB3B96"/>
    <w:rsid w:val="00ED521E"/>
    <w:rsid w:val="00EE1232"/>
    <w:rsid w:val="00EE41B1"/>
    <w:rsid w:val="00EF78FF"/>
    <w:rsid w:val="00F13C60"/>
    <w:rsid w:val="00F150E9"/>
    <w:rsid w:val="00F20502"/>
    <w:rsid w:val="00F322DC"/>
    <w:rsid w:val="00F42F74"/>
    <w:rsid w:val="00F44230"/>
    <w:rsid w:val="00F542C1"/>
    <w:rsid w:val="00F8764B"/>
    <w:rsid w:val="00F94878"/>
    <w:rsid w:val="00FA0FEA"/>
    <w:rsid w:val="00FA4CA7"/>
    <w:rsid w:val="00FA5E7E"/>
    <w:rsid w:val="00FD4785"/>
    <w:rsid w:val="00FD483F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7D5E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4</cp:revision>
  <cp:lastPrinted>2016-11-22T21:00:00Z</cp:lastPrinted>
  <dcterms:created xsi:type="dcterms:W3CDTF">2016-12-07T15:02:00Z</dcterms:created>
  <dcterms:modified xsi:type="dcterms:W3CDTF">2017-01-26T18:20:00Z</dcterms:modified>
</cp:coreProperties>
</file>