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804449" w:rsidP="006F1A5C">
            <w:pPr>
              <w:jc w:val="both"/>
            </w:pPr>
            <w:r w:rsidRPr="00F825ED">
              <w:rPr>
                <w:rFonts w:ascii="Arial" w:eastAsia="Calibri" w:hAnsi="Arial" w:cs="Arial"/>
                <w:sz w:val="18"/>
                <w:szCs w:val="18"/>
              </w:rPr>
              <w:t>Proyecto de Ampliación de Oficinas en Cementerios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EE651A" w:rsidP="006F1A5C">
            <w:pPr>
              <w:jc w:val="both"/>
            </w:pPr>
            <w:r>
              <w:t>2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B17DFB" w:rsidP="006F1A5C">
            <w:pPr>
              <w:jc w:val="both"/>
            </w:pPr>
            <w:r>
              <w:t>Dirección de Cementerios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030899" w:rsidP="006F1A5C">
            <w:pPr>
              <w:jc w:val="both"/>
            </w:pPr>
            <w:r>
              <w:t>2.2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B17DFB" w:rsidP="006F1A5C">
            <w:pPr>
              <w:jc w:val="both"/>
            </w:pPr>
            <w:r>
              <w:t xml:space="preserve">Se </w:t>
            </w:r>
            <w:r w:rsidR="00E54643">
              <w:t xml:space="preserve">quiere </w:t>
            </w:r>
            <w:r w:rsidR="00804449">
              <w:t xml:space="preserve">acrecentar las oficinas centrales de esta dirección con la finalidad de dar una atención </w:t>
            </w:r>
            <w:r w:rsidR="00641DC7">
              <w:t>más</w:t>
            </w:r>
            <w:r w:rsidR="00804449">
              <w:t xml:space="preserve"> personalizada a los usuarios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641DC7" w:rsidP="006F1A5C">
            <w:pPr>
              <w:jc w:val="both"/>
            </w:pPr>
            <w:r>
              <w:t>Tlaquepaque C</w:t>
            </w:r>
            <w:r w:rsidR="00B17DFB">
              <w:t xml:space="preserve">entro, San Pedrito, San Martin de las Flores, Toluquilla, Tateposco, </w:t>
            </w:r>
            <w:r w:rsidR="00A24DB1">
              <w:t>López</w:t>
            </w:r>
            <w:r w:rsidR="00B17DFB">
              <w:t xml:space="preserve"> Cotilla, San Sebastianito, Santa </w:t>
            </w:r>
            <w:r w:rsidR="00A24DB1">
              <w:t>María</w:t>
            </w:r>
            <w:r w:rsidR="00B17DFB">
              <w:t xml:space="preserve"> Tequepexpan y Santa Anita.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A24DB1" w:rsidP="006F1A5C">
            <w:pPr>
              <w:jc w:val="both"/>
            </w:pPr>
            <w:r>
              <w:t>Efraín</w:t>
            </w:r>
            <w:r w:rsidR="00B17DFB">
              <w:t xml:space="preserve"> Cabrera Serrano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5319B8" w:rsidP="00D356DF">
            <w:pPr>
              <w:jc w:val="both"/>
            </w:pPr>
            <w:r w:rsidRPr="005319B8">
              <w:t>Oficina en cementerio municipal ampliada y entregada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B17DFB" w:rsidP="006F1A5C">
            <w:pPr>
              <w:jc w:val="both"/>
            </w:pPr>
            <w:r>
              <w:t xml:space="preserve">Los usuarios del servicio </w:t>
            </w:r>
            <w:r w:rsidR="00600691">
              <w:t>público</w:t>
            </w:r>
            <w:r>
              <w:t xml:space="preserve"> de cementerios.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650F82" w:rsidP="006F1A5C"/>
        </w:tc>
        <w:tc>
          <w:tcPr>
            <w:tcW w:w="2694" w:type="dxa"/>
            <w:gridSpan w:val="4"/>
            <w:shd w:val="clear" w:color="auto" w:fill="auto"/>
          </w:tcPr>
          <w:p w:rsidR="00650F82" w:rsidRDefault="00650F82" w:rsidP="006F1A5C"/>
        </w:tc>
      </w:tr>
      <w:tr w:rsidR="00650F82" w:rsidTr="00121462">
        <w:tc>
          <w:tcPr>
            <w:tcW w:w="1092" w:type="dxa"/>
          </w:tcPr>
          <w:p w:rsidR="00650F82" w:rsidRDefault="00B17DFB" w:rsidP="006F1A5C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650F82" w:rsidP="00B17DFB"/>
        </w:tc>
        <w:tc>
          <w:tcPr>
            <w:tcW w:w="1417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971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5461F3" w:rsidRDefault="00B17DFB" w:rsidP="00C22A3F">
            <w:r>
              <w:t xml:space="preserve">Se espera </w:t>
            </w:r>
            <w:r w:rsidR="00804449">
              <w:t xml:space="preserve">contar con unas oficinas </w:t>
            </w:r>
            <w:r w:rsidR="00A24DB1">
              <w:t>más</w:t>
            </w:r>
            <w:r w:rsidR="00804449">
              <w:t xml:space="preserve"> dignas para tener una atención </w:t>
            </w:r>
            <w:r w:rsidR="00A24DB1">
              <w:t>más</w:t>
            </w:r>
            <w:r w:rsidR="00804449">
              <w:t xml:space="preserve"> personalizada y mejor para los us</w:t>
            </w:r>
            <w:r w:rsidR="005715AE">
              <w:t>u</w:t>
            </w:r>
            <w:r w:rsidR="00804449">
              <w:t>arios de este servicio</w:t>
            </w:r>
            <w:r w:rsidR="00600691">
              <w:t>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9170D4" w:rsidRDefault="00B17DFB" w:rsidP="00506A61">
            <w:r>
              <w:t xml:space="preserve">Se </w:t>
            </w:r>
            <w:r w:rsidR="005715AE">
              <w:t xml:space="preserve">han realizado todas las gestiones necesarias solo se está en espera del </w:t>
            </w:r>
            <w:r w:rsidR="00A24DB1">
              <w:t>presupuesto.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2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2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5319B8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162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5319B8">
        <w:tc>
          <w:tcPr>
            <w:tcW w:w="1356" w:type="pct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162" w:type="pct"/>
            <w:shd w:val="clear" w:color="auto" w:fill="FFFFFF" w:themeFill="background1"/>
          </w:tcPr>
          <w:p w:rsidR="00A316F5" w:rsidRDefault="005319B8" w:rsidP="00506A61">
            <w:pPr>
              <w:jc w:val="both"/>
            </w:pPr>
            <w:r w:rsidRPr="005319B8">
              <w:t>Oficina en cementerio municipal ampliada y entregada</w:t>
            </w:r>
          </w:p>
        </w:tc>
        <w:tc>
          <w:tcPr>
            <w:tcW w:w="1190" w:type="pct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2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907" w:type="pct"/>
        <w:tblLook w:val="04A0" w:firstRow="1" w:lastRow="0" w:firstColumn="1" w:lastColumn="0" w:noHBand="0" w:noVBand="1"/>
      </w:tblPr>
      <w:tblGrid>
        <w:gridCol w:w="5212"/>
        <w:gridCol w:w="737"/>
        <w:gridCol w:w="566"/>
        <w:gridCol w:w="681"/>
        <w:gridCol w:w="597"/>
        <w:gridCol w:w="696"/>
        <w:gridCol w:w="579"/>
        <w:gridCol w:w="566"/>
        <w:gridCol w:w="689"/>
        <w:gridCol w:w="562"/>
        <w:gridCol w:w="592"/>
        <w:gridCol w:w="706"/>
        <w:gridCol w:w="569"/>
      </w:tblGrid>
      <w:tr w:rsidR="005C6958" w:rsidTr="005319B8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  <w:bookmarkStart w:id="0" w:name="_GoBack"/>
        <w:bookmarkEnd w:id="0"/>
      </w:tr>
      <w:tr w:rsidR="005F04CD" w:rsidRPr="002B2543" w:rsidTr="005319B8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956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319B8" w:rsidRPr="002B2543" w:rsidTr="005319B8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8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7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7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3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319B8" w:rsidTr="005319B8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1B4573" w:rsidP="00691B6A">
            <w:r>
              <w:t xml:space="preserve">Se </w:t>
            </w:r>
            <w:r w:rsidR="005715AE">
              <w:t xml:space="preserve">han realizado todas las gestiones necesarias para la realización de este programa., incluso se </w:t>
            </w:r>
            <w:r w:rsidR="00A24DB1">
              <w:t>gestionó</w:t>
            </w:r>
            <w:r w:rsidR="005715AE">
              <w:t xml:space="preserve"> para poder realizar un estacionamiento en el cementerio de Tlaquepaque centro el cual ya es un hecho.</w:t>
            </w:r>
          </w:p>
        </w:tc>
        <w:tc>
          <w:tcPr>
            <w:tcW w:w="28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7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1F5B4A" w:rsidRPr="00145F76" w:rsidRDefault="005715A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AF187C">
              <w:rPr>
                <w:sz w:val="20"/>
              </w:rPr>
              <w:t>%</w:t>
            </w:r>
          </w:p>
        </w:tc>
        <w:tc>
          <w:tcPr>
            <w:tcW w:w="227" w:type="pct"/>
            <w:shd w:val="clear" w:color="auto" w:fill="auto"/>
          </w:tcPr>
          <w:p w:rsidR="001F5B4A" w:rsidRPr="00145F76" w:rsidRDefault="005715A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AF187C">
              <w:rPr>
                <w:sz w:val="20"/>
              </w:rPr>
              <w:t>%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AF187C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F26D6">
              <w:rPr>
                <w:sz w:val="20"/>
              </w:rPr>
              <w:t>0</w:t>
            </w:r>
            <w:r w:rsidR="00EE4CC7">
              <w:rPr>
                <w:sz w:val="20"/>
              </w:rPr>
              <w:t>%</w:t>
            </w:r>
          </w:p>
        </w:tc>
        <w:tc>
          <w:tcPr>
            <w:tcW w:w="270" w:type="pct"/>
            <w:shd w:val="clear" w:color="auto" w:fill="auto"/>
          </w:tcPr>
          <w:p w:rsidR="001F5B4A" w:rsidRPr="00145F76" w:rsidRDefault="004F26D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EE4CC7">
              <w:rPr>
                <w:sz w:val="20"/>
              </w:rPr>
              <w:t>%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5715A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EE4CC7">
              <w:rPr>
                <w:sz w:val="20"/>
              </w:rPr>
              <w:t>%</w:t>
            </w:r>
          </w:p>
        </w:tc>
        <w:tc>
          <w:tcPr>
            <w:tcW w:w="232" w:type="pct"/>
            <w:shd w:val="clear" w:color="auto" w:fill="auto"/>
          </w:tcPr>
          <w:p w:rsidR="001F5B4A" w:rsidRPr="00145F76" w:rsidRDefault="004F26D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B4573">
              <w:rPr>
                <w:sz w:val="20"/>
              </w:rPr>
              <w:t>0</w:t>
            </w:r>
            <w:r w:rsidR="00EE4CC7">
              <w:rPr>
                <w:sz w:val="20"/>
              </w:rPr>
              <w:t>%</w:t>
            </w:r>
          </w:p>
        </w:tc>
        <w:tc>
          <w:tcPr>
            <w:tcW w:w="277" w:type="pct"/>
            <w:shd w:val="clear" w:color="auto" w:fill="auto"/>
          </w:tcPr>
          <w:p w:rsidR="001F5B4A" w:rsidRPr="00145F76" w:rsidRDefault="005715A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EE4CC7">
              <w:rPr>
                <w:sz w:val="20"/>
              </w:rPr>
              <w:t>%</w:t>
            </w:r>
          </w:p>
        </w:tc>
        <w:tc>
          <w:tcPr>
            <w:tcW w:w="223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319B8" w:rsidTr="005319B8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4E5503" w:rsidP="00691B6A"/>
        </w:tc>
        <w:tc>
          <w:tcPr>
            <w:tcW w:w="28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7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7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319B8" w:rsidTr="005319B8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8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7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319B8" w:rsidTr="005319B8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8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7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319B8" w:rsidTr="005319B8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8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7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3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6F1A5C" w:rsidRDefault="006F1A5C">
      <w:pPr>
        <w:rPr>
          <w:rFonts w:ascii="Arial" w:hAnsi="Arial" w:cs="Arial"/>
          <w:b/>
          <w:sz w:val="24"/>
          <w:szCs w:val="20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F26D6" w:rsidRPr="00FF63B4" w:rsidRDefault="005715AE" w:rsidP="001B457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42122F" w:rsidRPr="00FF63B4" w:rsidRDefault="004F26D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5715AE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557" w:rsidRDefault="005E1557" w:rsidP="00831F7E">
      <w:pPr>
        <w:spacing w:after="0" w:line="240" w:lineRule="auto"/>
      </w:pPr>
      <w:r>
        <w:separator/>
      </w:r>
    </w:p>
  </w:endnote>
  <w:endnote w:type="continuationSeparator" w:id="0">
    <w:p w:rsidR="005E1557" w:rsidRDefault="005E1557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557" w:rsidRDefault="005E1557" w:rsidP="00831F7E">
      <w:pPr>
        <w:spacing w:after="0" w:line="240" w:lineRule="auto"/>
      </w:pPr>
      <w:r>
        <w:separator/>
      </w:r>
    </w:p>
  </w:footnote>
  <w:footnote w:type="continuationSeparator" w:id="0">
    <w:p w:rsidR="005E1557" w:rsidRDefault="005E1557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0899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B4573"/>
    <w:rsid w:val="001D4E0E"/>
    <w:rsid w:val="001F5482"/>
    <w:rsid w:val="001F5B4A"/>
    <w:rsid w:val="00212E94"/>
    <w:rsid w:val="0021498C"/>
    <w:rsid w:val="0022207C"/>
    <w:rsid w:val="00244BBA"/>
    <w:rsid w:val="002479EB"/>
    <w:rsid w:val="00283259"/>
    <w:rsid w:val="002B2543"/>
    <w:rsid w:val="002C48EE"/>
    <w:rsid w:val="002E08B6"/>
    <w:rsid w:val="00354265"/>
    <w:rsid w:val="0035529E"/>
    <w:rsid w:val="0038034B"/>
    <w:rsid w:val="00393FB9"/>
    <w:rsid w:val="003978F6"/>
    <w:rsid w:val="003A159C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4F26D6"/>
    <w:rsid w:val="00506A61"/>
    <w:rsid w:val="00507023"/>
    <w:rsid w:val="005132E8"/>
    <w:rsid w:val="005319B8"/>
    <w:rsid w:val="00541F08"/>
    <w:rsid w:val="00542487"/>
    <w:rsid w:val="005461F3"/>
    <w:rsid w:val="005478E1"/>
    <w:rsid w:val="00555E22"/>
    <w:rsid w:val="00556712"/>
    <w:rsid w:val="005608FF"/>
    <w:rsid w:val="005715AE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1557"/>
    <w:rsid w:val="005E58EB"/>
    <w:rsid w:val="005F04CD"/>
    <w:rsid w:val="00600691"/>
    <w:rsid w:val="006235EC"/>
    <w:rsid w:val="00623BB6"/>
    <w:rsid w:val="00640878"/>
    <w:rsid w:val="00641DC7"/>
    <w:rsid w:val="00650F82"/>
    <w:rsid w:val="00663511"/>
    <w:rsid w:val="006637AB"/>
    <w:rsid w:val="00663E7F"/>
    <w:rsid w:val="00672154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C8A"/>
    <w:rsid w:val="00804449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4DB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D6A10"/>
    <w:rsid w:val="00AF187C"/>
    <w:rsid w:val="00AF641E"/>
    <w:rsid w:val="00AF730C"/>
    <w:rsid w:val="00B1501F"/>
    <w:rsid w:val="00B17DFB"/>
    <w:rsid w:val="00B4490E"/>
    <w:rsid w:val="00B44A80"/>
    <w:rsid w:val="00B71F35"/>
    <w:rsid w:val="00BE28A4"/>
    <w:rsid w:val="00BF4795"/>
    <w:rsid w:val="00C12013"/>
    <w:rsid w:val="00C3208D"/>
    <w:rsid w:val="00C82B70"/>
    <w:rsid w:val="00D22792"/>
    <w:rsid w:val="00D3511F"/>
    <w:rsid w:val="00D356DF"/>
    <w:rsid w:val="00D50738"/>
    <w:rsid w:val="00D81A12"/>
    <w:rsid w:val="00DA1F68"/>
    <w:rsid w:val="00DB0FA4"/>
    <w:rsid w:val="00DC13B1"/>
    <w:rsid w:val="00DF3242"/>
    <w:rsid w:val="00E30C7A"/>
    <w:rsid w:val="00E32044"/>
    <w:rsid w:val="00E54643"/>
    <w:rsid w:val="00E57798"/>
    <w:rsid w:val="00E6571B"/>
    <w:rsid w:val="00E81D19"/>
    <w:rsid w:val="00E82C33"/>
    <w:rsid w:val="00EB3B96"/>
    <w:rsid w:val="00ED521E"/>
    <w:rsid w:val="00EE4CC7"/>
    <w:rsid w:val="00EE651A"/>
    <w:rsid w:val="00EF78FF"/>
    <w:rsid w:val="00F13C60"/>
    <w:rsid w:val="00F150E9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13FE5-26E2-4B13-9B9B-0646E36B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4</cp:revision>
  <cp:lastPrinted>2016-11-15T18:39:00Z</cp:lastPrinted>
  <dcterms:created xsi:type="dcterms:W3CDTF">2017-01-11T18:02:00Z</dcterms:created>
  <dcterms:modified xsi:type="dcterms:W3CDTF">2017-05-09T19:06:00Z</dcterms:modified>
</cp:coreProperties>
</file>