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C61D6F" w:rsidP="009A1BE3">
            <w:pPr>
              <w:rPr>
                <w:b/>
              </w:rPr>
            </w:pPr>
            <w:r>
              <w:rPr>
                <w:b/>
              </w:rPr>
              <w:t>Modernización y Equipamiento.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02F74" w:rsidP="009A1BE3">
            <w:r>
              <w:t>1</w:t>
            </w:r>
          </w:p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02F74" w:rsidP="009A1BE3">
            <w:r>
              <w:t>1.1</w:t>
            </w:r>
          </w:p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C61D6F" w:rsidP="00C61D6F">
            <w:r>
              <w:t xml:space="preserve">Por medio de la Universidad ITESO, recibimos la donación de equipos de </w:t>
            </w:r>
            <w:r w:rsidR="00104658">
              <w:t>cómputo, las cuales se distribuyeron</w:t>
            </w:r>
            <w:r w:rsidR="00A6258E">
              <w:t xml:space="preserve"> en </w:t>
            </w:r>
            <w:r>
              <w:t xml:space="preserve"> las </w:t>
            </w:r>
            <w:r w:rsidR="006409B3">
              <w:t>distintas Á</w:t>
            </w:r>
            <w:r>
              <w:t xml:space="preserve">reas de la Coordinación General, </w:t>
            </w:r>
            <w:r w:rsidR="006409B3">
              <w:t xml:space="preserve">en donde los equipos se </w:t>
            </w:r>
            <w:r>
              <w:t xml:space="preserve"> encontraban en mal estado,</w:t>
            </w:r>
            <w:r w:rsidR="006409B3">
              <w:t xml:space="preserve"> agilizando así, los procesos de trabajos asignados.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6409B3" w:rsidP="009A1BE3">
            <w:r>
              <w:t>Coordinación General de Gestión Integral de la Ciudad.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843B35" w:rsidP="009A1BE3">
            <w:r>
              <w:t>Lic. Griselda Aceves Suárez.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02F74" w:rsidRDefault="00D02F74" w:rsidP="00D02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Modernización y equipamiento</w:t>
            </w:r>
          </w:p>
          <w:p w:rsidR="00D7156D" w:rsidRDefault="00D7156D" w:rsidP="009E528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5A0727" w:rsidP="009A1BE3">
            <w:r>
              <w:t>Servidores Públicos de la Coordinación de Gestión Integral de la Ciudad.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  <w:r w:rsidR="008063F2">
              <w:t>X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665"/>
        <w:gridCol w:w="889"/>
        <w:gridCol w:w="843"/>
        <w:gridCol w:w="326"/>
        <w:gridCol w:w="325"/>
        <w:gridCol w:w="904"/>
        <w:gridCol w:w="999"/>
        <w:gridCol w:w="883"/>
        <w:gridCol w:w="799"/>
        <w:gridCol w:w="909"/>
        <w:gridCol w:w="3"/>
        <w:gridCol w:w="536"/>
        <w:gridCol w:w="912"/>
        <w:gridCol w:w="981"/>
        <w:gridCol w:w="809"/>
      </w:tblGrid>
      <w:tr w:rsidR="00D7156D" w:rsidTr="00D02F74">
        <w:trPr>
          <w:trHeight w:val="547"/>
        </w:trPr>
        <w:tc>
          <w:tcPr>
            <w:tcW w:w="1068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932" w:type="pct"/>
            <w:gridSpan w:val="14"/>
            <w:shd w:val="clear" w:color="auto" w:fill="auto"/>
          </w:tcPr>
          <w:p w:rsidR="00025E95" w:rsidRDefault="002E303C" w:rsidP="006141CD">
            <w:r>
              <w:t>- Solicitar la donación de equipos de cómputo a la Universidad ITESO.</w:t>
            </w:r>
          </w:p>
          <w:p w:rsidR="002E303C" w:rsidRDefault="002E303C" w:rsidP="006141CD">
            <w:r>
              <w:t>- Recibir la respuesta por parte de ITESO, sobre la cantidad de computadoras a donar y fecha de entrega.</w:t>
            </w:r>
          </w:p>
          <w:p w:rsidR="002E303C" w:rsidRDefault="002E303C" w:rsidP="006141CD">
            <w:r>
              <w:t xml:space="preserve">- Recibir equipos de cómputo en las instalaciones de la Universidad ITESO. </w:t>
            </w:r>
          </w:p>
          <w:p w:rsidR="008C37DF" w:rsidRDefault="008C37DF" w:rsidP="006141CD">
            <w:r>
              <w:t>- Instalación de los equipos de cómputo.</w:t>
            </w:r>
          </w:p>
        </w:tc>
      </w:tr>
      <w:tr w:rsidR="00D7156D" w:rsidTr="00D02F74">
        <w:trPr>
          <w:trHeight w:val="547"/>
        </w:trPr>
        <w:tc>
          <w:tcPr>
            <w:tcW w:w="1068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932" w:type="pct"/>
            <w:gridSpan w:val="14"/>
            <w:shd w:val="clear" w:color="auto" w:fill="auto"/>
          </w:tcPr>
          <w:p w:rsidR="00D7156D" w:rsidRDefault="00C042C6" w:rsidP="009A1BE3">
            <w:r>
              <w:t xml:space="preserve">Recibir </w:t>
            </w:r>
            <w:r w:rsidR="008C37DF">
              <w:t xml:space="preserve">45 </w:t>
            </w:r>
            <w:r>
              <w:t>equipos de cómputo, en buen estado</w:t>
            </w:r>
            <w:r w:rsidR="005A0727">
              <w:t>.</w:t>
            </w:r>
          </w:p>
        </w:tc>
      </w:tr>
      <w:tr w:rsidR="00D7156D" w:rsidTr="00D02F74">
        <w:trPr>
          <w:trHeight w:val="547"/>
        </w:trPr>
        <w:tc>
          <w:tcPr>
            <w:tcW w:w="1068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932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D02F74">
        <w:trPr>
          <w:trHeight w:val="547"/>
        </w:trPr>
        <w:tc>
          <w:tcPr>
            <w:tcW w:w="1068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932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D02F74">
        <w:tc>
          <w:tcPr>
            <w:tcW w:w="1068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99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901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32" w:type="pct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D02F74">
        <w:tc>
          <w:tcPr>
            <w:tcW w:w="1068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99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901" w:type="pct"/>
            <w:gridSpan w:val="6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32" w:type="pct"/>
            <w:gridSpan w:val="5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02F74" w:rsidTr="00D02F74">
        <w:tc>
          <w:tcPr>
            <w:tcW w:w="1068" w:type="pct"/>
            <w:shd w:val="clear" w:color="auto" w:fill="D9D9D9" w:themeFill="background1" w:themeFillShade="D9"/>
          </w:tcPr>
          <w:p w:rsidR="00D02F74" w:rsidRDefault="00D02F74" w:rsidP="009A1BE3">
            <w:r>
              <w:t>C) Valor Inicial de la Meta</w:t>
            </w:r>
          </w:p>
        </w:tc>
        <w:tc>
          <w:tcPr>
            <w:tcW w:w="1278" w:type="pct"/>
            <w:gridSpan w:val="5"/>
            <w:shd w:val="clear" w:color="auto" w:fill="D9D9D9" w:themeFill="background1" w:themeFillShade="D9"/>
          </w:tcPr>
          <w:p w:rsidR="00D02F74" w:rsidRDefault="00D02F74" w:rsidP="009A1BE3">
            <w:pPr>
              <w:jc w:val="center"/>
            </w:pPr>
            <w:r>
              <w:t>Valor final de la Meta</w:t>
            </w:r>
          </w:p>
        </w:tc>
        <w:tc>
          <w:tcPr>
            <w:tcW w:w="1499" w:type="pct"/>
            <w:gridSpan w:val="5"/>
            <w:shd w:val="clear" w:color="auto" w:fill="D9D9D9" w:themeFill="background1" w:themeFillShade="D9"/>
          </w:tcPr>
          <w:p w:rsidR="00D02F74" w:rsidRDefault="00D02F74" w:rsidP="009A1BE3">
            <w:pPr>
              <w:jc w:val="center"/>
            </w:pPr>
            <w:r>
              <w:t>Nombre del Indicador</w:t>
            </w:r>
          </w:p>
        </w:tc>
        <w:tc>
          <w:tcPr>
            <w:tcW w:w="1155" w:type="pct"/>
            <w:gridSpan w:val="4"/>
            <w:shd w:val="clear" w:color="auto" w:fill="D9D9D9" w:themeFill="background1" w:themeFillShade="D9"/>
          </w:tcPr>
          <w:p w:rsidR="00D02F74" w:rsidRDefault="00D02F74" w:rsidP="009A1BE3">
            <w:pPr>
              <w:jc w:val="center"/>
            </w:pPr>
            <w:r>
              <w:t xml:space="preserve">Fórmula del Indicador </w:t>
            </w:r>
          </w:p>
        </w:tc>
      </w:tr>
      <w:tr w:rsidR="00D02F74" w:rsidTr="00D02F74">
        <w:tc>
          <w:tcPr>
            <w:tcW w:w="1068" w:type="pct"/>
            <w:shd w:val="clear" w:color="auto" w:fill="auto"/>
          </w:tcPr>
          <w:p w:rsidR="00D02F74" w:rsidRDefault="00D02F74" w:rsidP="009A1BE3">
            <w:r>
              <w:t>100%</w:t>
            </w:r>
          </w:p>
        </w:tc>
        <w:tc>
          <w:tcPr>
            <w:tcW w:w="1278" w:type="pct"/>
            <w:gridSpan w:val="5"/>
            <w:shd w:val="clear" w:color="auto" w:fill="auto"/>
          </w:tcPr>
          <w:p w:rsidR="00D02F74" w:rsidRDefault="00D02F74" w:rsidP="009A1BE3">
            <w:r>
              <w:t>100%</w:t>
            </w:r>
          </w:p>
        </w:tc>
        <w:tc>
          <w:tcPr>
            <w:tcW w:w="1499" w:type="pct"/>
            <w:gridSpan w:val="5"/>
            <w:shd w:val="clear" w:color="auto" w:fill="auto"/>
          </w:tcPr>
          <w:p w:rsidR="00D02F74" w:rsidRDefault="00D02F74" w:rsidP="009A1BE3">
            <w:r w:rsidRPr="00D02F74">
              <w:t>Mejora de la evaluación de los empleados en materia de desarrollo organizacional</w:t>
            </w:r>
          </w:p>
        </w:tc>
        <w:tc>
          <w:tcPr>
            <w:tcW w:w="1155" w:type="pct"/>
            <w:gridSpan w:val="4"/>
            <w:shd w:val="clear" w:color="auto" w:fill="auto"/>
          </w:tcPr>
          <w:p w:rsidR="00D02F74" w:rsidRDefault="00D02F74" w:rsidP="009A1BE3">
            <w:bookmarkStart w:id="0" w:name="_GoBack"/>
            <w:bookmarkEnd w:id="0"/>
          </w:p>
        </w:tc>
      </w:tr>
      <w:tr w:rsidR="00D7156D" w:rsidTr="00D02F74">
        <w:tc>
          <w:tcPr>
            <w:tcW w:w="2346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654" w:type="pct"/>
            <w:gridSpan w:val="9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02F74" w:rsidTr="00D02F7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182" w:type="pct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D02F74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195100" w:rsidP="009E0FCD">
            <w:r>
              <w:t xml:space="preserve">- Solicitar la donación de equipos de </w:t>
            </w:r>
            <w:r w:rsidR="009E0FCD">
              <w:t>cómputo a la Universidad ITESO.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D02F74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9E0FCD" w:rsidP="00C63125">
            <w:r>
              <w:t>Recibir la respuesta por parte de ITESO, sobre la cantidad de computadoras a donar y fecha de entrega.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D02F74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9E0FCD" w:rsidP="00C63125">
            <w:r>
              <w:lastRenderedPageBreak/>
              <w:t>Recibir equipos de cómputo en las instalaciones de la Universidad ITESO.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6258E" w:rsidTr="00D02F74">
        <w:trPr>
          <w:trHeight w:val="281"/>
        </w:trPr>
        <w:tc>
          <w:tcPr>
            <w:tcW w:w="0" w:type="auto"/>
            <w:shd w:val="clear" w:color="auto" w:fill="auto"/>
          </w:tcPr>
          <w:p w:rsidR="00A6258E" w:rsidRDefault="00A6258E" w:rsidP="00C63125">
            <w:r>
              <w:t>Instalación de los equipos de cómputo.</w:t>
            </w: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6258E" w:rsidRPr="00145F76" w:rsidRDefault="00A6258E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258E" w:rsidRPr="00145F76" w:rsidRDefault="00A6258E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43" w:rsidRDefault="00FA0943" w:rsidP="00831F7E">
      <w:pPr>
        <w:spacing w:after="0" w:line="240" w:lineRule="auto"/>
      </w:pPr>
      <w:r>
        <w:separator/>
      </w:r>
    </w:p>
  </w:endnote>
  <w:endnote w:type="continuationSeparator" w:id="0">
    <w:p w:rsidR="00FA0943" w:rsidRDefault="00FA094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43" w:rsidRDefault="00FA0943" w:rsidP="00831F7E">
      <w:pPr>
        <w:spacing w:after="0" w:line="240" w:lineRule="auto"/>
      </w:pPr>
      <w:r>
        <w:separator/>
      </w:r>
    </w:p>
  </w:footnote>
  <w:footnote w:type="continuationSeparator" w:id="0">
    <w:p w:rsidR="00FA0943" w:rsidRDefault="00FA094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BAF"/>
    <w:rsid w:val="00095838"/>
    <w:rsid w:val="000C70C7"/>
    <w:rsid w:val="000D0701"/>
    <w:rsid w:val="000D5483"/>
    <w:rsid w:val="000D76A0"/>
    <w:rsid w:val="000F14EB"/>
    <w:rsid w:val="00104658"/>
    <w:rsid w:val="00115B5F"/>
    <w:rsid w:val="00117FD6"/>
    <w:rsid w:val="00121462"/>
    <w:rsid w:val="00125356"/>
    <w:rsid w:val="00135926"/>
    <w:rsid w:val="00140B6D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2E303C"/>
    <w:rsid w:val="003052A9"/>
    <w:rsid w:val="00321C4E"/>
    <w:rsid w:val="003260F3"/>
    <w:rsid w:val="00354265"/>
    <w:rsid w:val="0035529E"/>
    <w:rsid w:val="00361510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65A"/>
    <w:rsid w:val="004B17E0"/>
    <w:rsid w:val="004C3B57"/>
    <w:rsid w:val="004D73DA"/>
    <w:rsid w:val="004E1777"/>
    <w:rsid w:val="004F26D1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3C8A"/>
    <w:rsid w:val="008063F2"/>
    <w:rsid w:val="008143A4"/>
    <w:rsid w:val="0081597D"/>
    <w:rsid w:val="0083097A"/>
    <w:rsid w:val="00831976"/>
    <w:rsid w:val="00831F7E"/>
    <w:rsid w:val="00843B35"/>
    <w:rsid w:val="00865183"/>
    <w:rsid w:val="008655F0"/>
    <w:rsid w:val="0087336E"/>
    <w:rsid w:val="008736F3"/>
    <w:rsid w:val="008823BE"/>
    <w:rsid w:val="008B03B5"/>
    <w:rsid w:val="008B3D01"/>
    <w:rsid w:val="008B40BA"/>
    <w:rsid w:val="008C37DF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0FCD"/>
    <w:rsid w:val="009E163A"/>
    <w:rsid w:val="009E5281"/>
    <w:rsid w:val="009F1752"/>
    <w:rsid w:val="009F50FA"/>
    <w:rsid w:val="00A00F82"/>
    <w:rsid w:val="00A43069"/>
    <w:rsid w:val="00A465A0"/>
    <w:rsid w:val="00A53855"/>
    <w:rsid w:val="00A54029"/>
    <w:rsid w:val="00A57343"/>
    <w:rsid w:val="00A6258E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01747"/>
    <w:rsid w:val="00B055BA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E28A4"/>
    <w:rsid w:val="00BF4795"/>
    <w:rsid w:val="00C01CAD"/>
    <w:rsid w:val="00C02EA7"/>
    <w:rsid w:val="00C042C6"/>
    <w:rsid w:val="00C12013"/>
    <w:rsid w:val="00C3208D"/>
    <w:rsid w:val="00C416AB"/>
    <w:rsid w:val="00C61D6F"/>
    <w:rsid w:val="00C63125"/>
    <w:rsid w:val="00C825C4"/>
    <w:rsid w:val="00CD7F93"/>
    <w:rsid w:val="00D02F74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C13B1"/>
    <w:rsid w:val="00DE19BE"/>
    <w:rsid w:val="00DF3242"/>
    <w:rsid w:val="00E218C6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5ADB"/>
    <w:rsid w:val="00F8764B"/>
    <w:rsid w:val="00F94878"/>
    <w:rsid w:val="00FA0943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CB24-60F4-42D6-9D6C-D1C58E4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2016-07-19T18:55:00Z</cp:lastPrinted>
  <dcterms:created xsi:type="dcterms:W3CDTF">2017-05-15T18:04:00Z</dcterms:created>
  <dcterms:modified xsi:type="dcterms:W3CDTF">2017-05-15T18:04:00Z</dcterms:modified>
</cp:coreProperties>
</file>