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FE76E7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Pr="00AC7AE4" w:rsidRDefault="00FE76E7" w:rsidP="00FE76E7">
            <w:r w:rsidRPr="00AC7AE4">
              <w:t>Programa de Difusión y Promoción del Archivo General Municipal “Manuel Cambre”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AC7AE4" w:rsidRDefault="00FE76E7" w:rsidP="006F1A5C">
            <w:pPr>
              <w:jc w:val="both"/>
            </w:pPr>
            <w:r w:rsidRPr="00AC7AE4">
              <w:t>Dirección de Archivo General Municipal “Manuel Cambre”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AC7AE4" w:rsidRDefault="00FE76E7" w:rsidP="006F1A5C">
            <w:pPr>
              <w:jc w:val="both"/>
            </w:pPr>
            <w:r w:rsidRPr="00AC7AE4">
              <w:t xml:space="preserve">La mayoría de la población de San Pedro Tlaquepaque desconoce que existe un </w:t>
            </w:r>
            <w:r w:rsidR="00031BED" w:rsidRPr="00AC7AE4">
              <w:t xml:space="preserve">Archivo General Municipal donde </w:t>
            </w:r>
            <w:r w:rsidRPr="00AC7AE4">
              <w:t>encontrar</w:t>
            </w:r>
            <w:r w:rsidR="00031BED" w:rsidRPr="00AC7AE4">
              <w:t>an</w:t>
            </w:r>
            <w:r w:rsidRPr="00AC7AE4">
              <w:t xml:space="preserve"> diversos document</w:t>
            </w:r>
            <w:r w:rsidR="006D19EC" w:rsidRPr="00AC7AE4">
              <w:t>os que pueden ser de su interés</w:t>
            </w:r>
            <w:r w:rsidRPr="00AC7AE4">
              <w:t>, no solo por cuestiones culturales, sino también desde una perspectiva histórica de la región</w:t>
            </w:r>
            <w:r w:rsidR="006D19EC" w:rsidRPr="00AC7AE4">
              <w:t xml:space="preserve"> y de sus comunidades. El presente programa es para incrementar el número de personas que conoce esta institución y hagan uso de sus acervos documentales.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Pr="00AC7AE4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AC7AE4" w:rsidRDefault="00BE6B53" w:rsidP="00AB2D58">
            <w:pPr>
              <w:jc w:val="both"/>
            </w:pPr>
            <w:r w:rsidRPr="00AC7AE4">
              <w:t xml:space="preserve">Las actividades del programa </w:t>
            </w:r>
            <w:r w:rsidR="00AB2D58" w:rsidRPr="00AC7AE4">
              <w:t>tienen cobertura municipal con el apoyo de las Delegaciones y Agencias Municipales; algunas otras actividades son dirigidas a la población de la Zona Metropolitana de Guadalajara.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B2D58" w:rsidRPr="00FE76E7" w:rsidRDefault="00AB2D58" w:rsidP="006F1A5C">
            <w:pPr>
              <w:jc w:val="both"/>
              <w:rPr>
                <w:b/>
              </w:rPr>
            </w:pPr>
            <w:r w:rsidRPr="00AC7AE4">
              <w:t>Mtra. Saray Sedano Pérez Lete; tel. 35624320; correo</w:t>
            </w:r>
            <w:r>
              <w:rPr>
                <w:b/>
              </w:rPr>
              <w:t xml:space="preserve"> </w:t>
            </w:r>
            <w:hyperlink r:id="rId9" w:history="1">
              <w:r w:rsidR="00031BED" w:rsidRPr="0049423E">
                <w:rPr>
                  <w:rStyle w:val="Hipervnculo"/>
                  <w:b/>
                </w:rPr>
                <w:t>sarays.perezlete@tlaquepaque.gob.mx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AC7AE4" w:rsidRDefault="00AB2D58" w:rsidP="006F1A5C">
            <w:pPr>
              <w:jc w:val="both"/>
            </w:pPr>
            <w:r w:rsidRPr="00AC7AE4">
              <w:t>Difundir y promover las funciones, atribuciones y contenidos del Archivo General Municipal, entre los habitantes de San Pedro Tlaquepaque, la ZMG y las dependencias internas del ayuntamiento, así como contribuir al estudio de la historia de la región para nuevas publicaciones.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AC7AE4" w:rsidRDefault="00A01DCA" w:rsidP="00A01DCA">
            <w:proofErr w:type="spellStart"/>
            <w:r w:rsidRPr="00AC7AE4">
              <w:t>Vinc</w:t>
            </w:r>
            <w:proofErr w:type="spellEnd"/>
            <w:r w:rsidRPr="00AC7AE4">
              <w:t xml:space="preserve"> al </w:t>
            </w:r>
            <w:proofErr w:type="spellStart"/>
            <w:r w:rsidRPr="00AC7AE4"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AC7AE4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4C5BB6" w:rsidRPr="00AC7AE4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AC7AE4">
              <w:t>Estudiantes e investigadores.</w:t>
            </w:r>
          </w:p>
          <w:p w:rsidR="004C5BB6" w:rsidRPr="00AC7AE4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AC7AE4">
              <w:t>Periodistas y/o medios de comunicación.</w:t>
            </w:r>
          </w:p>
          <w:p w:rsidR="004C5BB6" w:rsidRPr="00AC7AE4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AC7AE4">
              <w:t>Dependencias del Gobierno Municipal de San Pedro Tlaquepaque</w:t>
            </w:r>
          </w:p>
          <w:p w:rsidR="004C5BB6" w:rsidRPr="00AC7AE4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AC7AE4">
              <w:t>Vecinos de municipio.</w:t>
            </w:r>
          </w:p>
          <w:p w:rsidR="00FA5E7E" w:rsidRPr="00AC7AE4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AC7AE4">
              <w:t>Público en general.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lastRenderedPageBreak/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  <w:r w:rsidR="00B54A51">
              <w:t>*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031BED"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AC7AE4" w:rsidRDefault="00D4006C" w:rsidP="00D4006C">
            <w:pPr>
              <w:jc w:val="center"/>
            </w:pPr>
            <w:r w:rsidRPr="00AC7AE4"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AC7AE4" w:rsidRDefault="00D4006C" w:rsidP="00D4006C">
            <w:pPr>
              <w:jc w:val="center"/>
            </w:pPr>
            <w:r w:rsidRPr="00AC7AE4"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Pr="00AC7AE4" w:rsidRDefault="004C5BB6" w:rsidP="006F1A5C">
            <w:pPr>
              <w:jc w:val="center"/>
            </w:pPr>
            <w:r w:rsidRPr="00AC7AE4">
              <w:t>X</w:t>
            </w:r>
          </w:p>
        </w:tc>
        <w:tc>
          <w:tcPr>
            <w:tcW w:w="1060" w:type="dxa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1532" w:type="dxa"/>
            <w:gridSpan w:val="2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650F82" w:rsidRPr="00AC7AE4" w:rsidRDefault="00B54A51" w:rsidP="006F1A5C">
            <w:pPr>
              <w:jc w:val="center"/>
            </w:pPr>
            <w:r w:rsidRPr="00AC7AE4">
              <w:t>299,904</w:t>
            </w:r>
          </w:p>
        </w:tc>
        <w:tc>
          <w:tcPr>
            <w:tcW w:w="1417" w:type="dxa"/>
          </w:tcPr>
          <w:p w:rsidR="00650F82" w:rsidRPr="00AC7AE4" w:rsidRDefault="00B54A51" w:rsidP="006F1A5C">
            <w:pPr>
              <w:jc w:val="center"/>
            </w:pPr>
            <w:r w:rsidRPr="00AC7AE4"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AC7AE4" w:rsidRDefault="00C228C7" w:rsidP="00AC7AE4">
            <w:pPr>
              <w:jc w:val="center"/>
            </w:pPr>
            <w:r w:rsidRPr="00AC7AE4">
              <w:t>$68,500.00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B54A51" w:rsidRDefault="00B54A51" w:rsidP="00414D92"/>
    <w:p w:rsidR="00195B59" w:rsidRPr="00B44A80" w:rsidRDefault="00B54A51" w:rsidP="00414D92">
      <w:pPr>
        <w:rPr>
          <w:b/>
          <w:sz w:val="48"/>
        </w:rPr>
      </w:pPr>
      <w:r>
        <w:t>*Según estadísticas INEGI 2010</w:t>
      </w:r>
      <w:r w:rsidR="00145F76"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44D0E" w:rsidRPr="00AC7AE4" w:rsidRDefault="00244D0E" w:rsidP="00B54A51">
            <w:pPr>
              <w:pStyle w:val="Prrafodelista"/>
              <w:numPr>
                <w:ilvl w:val="0"/>
                <w:numId w:val="3"/>
              </w:numPr>
              <w:ind w:left="300"/>
              <w:jc w:val="both"/>
              <w:rPr>
                <w:rFonts w:cs="Arial"/>
              </w:rPr>
            </w:pPr>
            <w:r w:rsidRPr="00AC7AE4">
              <w:rPr>
                <w:rFonts w:cs="Arial"/>
              </w:rPr>
              <w:t xml:space="preserve">Incrementar la capacitación interna municipal, tanto de personal </w:t>
            </w:r>
            <w:proofErr w:type="spellStart"/>
            <w:r w:rsidRPr="00AC7AE4">
              <w:rPr>
                <w:rFonts w:cs="Arial"/>
              </w:rPr>
              <w:t>basificado</w:t>
            </w:r>
            <w:proofErr w:type="spellEnd"/>
            <w:r w:rsidRPr="00AC7AE4">
              <w:rPr>
                <w:rFonts w:cs="Arial"/>
              </w:rPr>
              <w:t>, como de confianza, en el área de la archivística.</w:t>
            </w:r>
          </w:p>
          <w:p w:rsidR="00244D0E" w:rsidRPr="00AC7AE4" w:rsidRDefault="00244D0E" w:rsidP="00B54A51">
            <w:pPr>
              <w:pStyle w:val="Prrafodelista"/>
              <w:numPr>
                <w:ilvl w:val="0"/>
                <w:numId w:val="3"/>
              </w:numPr>
              <w:ind w:left="300"/>
              <w:jc w:val="both"/>
              <w:rPr>
                <w:rFonts w:cs="Arial"/>
              </w:rPr>
            </w:pPr>
            <w:r w:rsidRPr="00AC7AE4">
              <w:rPr>
                <w:rFonts w:cs="Arial"/>
              </w:rPr>
              <w:t>Gestionar y realizar eventos educativos, sociales y culturales dirigidos a sectores específicos de la población según sea el caso.</w:t>
            </w:r>
          </w:p>
          <w:p w:rsidR="00244D0E" w:rsidRPr="00AC7AE4" w:rsidRDefault="00244D0E" w:rsidP="00B54A51">
            <w:pPr>
              <w:pStyle w:val="Prrafodelista"/>
              <w:numPr>
                <w:ilvl w:val="0"/>
                <w:numId w:val="3"/>
              </w:numPr>
              <w:ind w:left="300"/>
              <w:jc w:val="both"/>
              <w:rPr>
                <w:rFonts w:cs="Arial"/>
              </w:rPr>
            </w:pPr>
            <w:r w:rsidRPr="00AC7AE4">
              <w:rPr>
                <w:rFonts w:cs="Arial"/>
              </w:rPr>
              <w:t>Participación y colaboración en actividades intermunicipales, estatales, nacionales e internacionales.</w:t>
            </w:r>
          </w:p>
          <w:p w:rsidR="005461F3" w:rsidRPr="00AC7AE4" w:rsidRDefault="00244D0E" w:rsidP="00B54A51">
            <w:pPr>
              <w:pStyle w:val="Prrafodelista"/>
              <w:numPr>
                <w:ilvl w:val="0"/>
                <w:numId w:val="3"/>
              </w:numPr>
              <w:ind w:left="300"/>
              <w:jc w:val="both"/>
              <w:rPr>
                <w:rFonts w:cs="Arial"/>
              </w:rPr>
            </w:pPr>
            <w:r w:rsidRPr="00AC7AE4">
              <w:rPr>
                <w:rFonts w:cs="Arial"/>
              </w:rPr>
              <w:t>Incremento y conservación del acervo documental, fotográfico y bibliográfico.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AC7AE4" w:rsidRDefault="00244D0E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AC7AE4">
              <w:t>Curso de Administración de Documentos del Gobierno Municipal.</w:t>
            </w:r>
          </w:p>
          <w:p w:rsidR="00B54A51" w:rsidRPr="00AC7AE4" w:rsidRDefault="00B54A51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AC7AE4">
              <w:t>Capacitación interna del personal que labora en el Archivo General Municipal.</w:t>
            </w:r>
          </w:p>
          <w:p w:rsidR="00244D0E" w:rsidRPr="00AC7AE4" w:rsidRDefault="00244D0E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AC7AE4">
              <w:t>Conferencia titulada: Los Archivos: Núcleo Básico para el Ejercicio del Derecho a la Información y Transparencia.</w:t>
            </w:r>
          </w:p>
          <w:p w:rsidR="00B54A51" w:rsidRPr="00AC7AE4" w:rsidRDefault="00031BED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Conmemoración del D</w:t>
            </w:r>
            <w:r w:rsidR="00B54A51" w:rsidRPr="00AC7AE4">
              <w:t>ía del Archivista.</w:t>
            </w:r>
          </w:p>
          <w:p w:rsidR="00244D0E" w:rsidRPr="00AC7AE4" w:rsidRDefault="00244D0E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Exposición fotográfica en el Congreso del Estado de Jalisco.</w:t>
            </w:r>
          </w:p>
          <w:p w:rsidR="00B54A51" w:rsidRPr="00AC7AE4" w:rsidRDefault="0045430B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C</w:t>
            </w:r>
            <w:r w:rsidR="00B54A51" w:rsidRPr="00AC7AE4">
              <w:t>onvocatoria de donaciones para el archivo.</w:t>
            </w:r>
          </w:p>
          <w:p w:rsidR="00244D0E" w:rsidRPr="00AC7AE4" w:rsidRDefault="00244D0E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Segundo taller infantil “Jugando con Papel”</w:t>
            </w:r>
            <w:r w:rsidR="00B54A51" w:rsidRPr="00AC7AE4">
              <w:t>.</w:t>
            </w:r>
          </w:p>
          <w:p w:rsidR="00B54A51" w:rsidRPr="00AC7AE4" w:rsidRDefault="00B54A51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Congreso Internacional de Archivos ICA.</w:t>
            </w:r>
          </w:p>
          <w:p w:rsidR="00244D0E" w:rsidRPr="00AC7AE4" w:rsidRDefault="00244D0E" w:rsidP="0045430B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AC7AE4">
              <w:t>Exposición fotográfica en San Martín de las Flores.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52A38" w:rsidP="005461F3">
            <w:pPr>
              <w:jc w:val="center"/>
            </w:pPr>
            <w:r>
              <w:t>15%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52A38" w:rsidP="005461F3">
            <w:pPr>
              <w:jc w:val="center"/>
            </w:pPr>
            <w:r>
              <w:t>25%</w:t>
            </w:r>
          </w:p>
        </w:tc>
        <w:tc>
          <w:tcPr>
            <w:tcW w:w="1190" w:type="pct"/>
            <w:shd w:val="clear" w:color="auto" w:fill="auto"/>
          </w:tcPr>
          <w:p w:rsidR="0003322C" w:rsidRDefault="00BB7104" w:rsidP="005461F3">
            <w:pPr>
              <w:jc w:val="center"/>
            </w:pPr>
            <w:r>
              <w:t>35</w:t>
            </w:r>
            <w:r w:rsidR="00852A38">
              <w:t>%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BB7104">
        <w:tc>
          <w:tcPr>
            <w:tcW w:w="1356" w:type="pct"/>
            <w:shd w:val="clear" w:color="auto" w:fill="auto"/>
          </w:tcPr>
          <w:p w:rsidR="00A316F5" w:rsidRPr="00AC7AE4" w:rsidRDefault="00852A38" w:rsidP="00506A61">
            <w:pPr>
              <w:jc w:val="center"/>
            </w:pPr>
            <w:r w:rsidRPr="00AC7AE4"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Pr="00AC7AE4" w:rsidRDefault="00BB7104" w:rsidP="00506A61">
            <w:pPr>
              <w:jc w:val="center"/>
            </w:pPr>
            <w:r w:rsidRPr="00AC7AE4">
              <w:t>35</w:t>
            </w:r>
            <w:r w:rsidR="0045430B" w:rsidRPr="00AC7AE4">
              <w:t>% de población objetivo cubierto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Pr="00AC7AE4" w:rsidRDefault="00BB7104" w:rsidP="00506A61">
            <w:pPr>
              <w:jc w:val="both"/>
            </w:pPr>
            <w:r w:rsidRPr="00AC7AE4">
              <w:t xml:space="preserve">X= </w:t>
            </w:r>
            <w:r w:rsidR="0045430B" w:rsidRPr="00AC7AE4">
              <w:t>Porcentaje de la población objetivo que conoce y/o hace uso de los servicios que ofrece el Archivo.</w:t>
            </w:r>
          </w:p>
          <w:p w:rsidR="00BB7104" w:rsidRPr="00AC7AE4" w:rsidRDefault="00BB7104" w:rsidP="00506A61">
            <w:pPr>
              <w:jc w:val="both"/>
            </w:pPr>
            <w:r w:rsidRPr="00AC7AE4">
              <w:t>PO= Población Objetivo</w:t>
            </w:r>
          </w:p>
          <w:p w:rsidR="00BB7104" w:rsidRPr="00AC7AE4" w:rsidRDefault="00BB7104" w:rsidP="00506A61">
            <w:pPr>
              <w:jc w:val="both"/>
            </w:pPr>
            <w:r w:rsidRPr="00AC7AE4">
              <w:lastRenderedPageBreak/>
              <w:t>PA= Población Atendida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Pr="00AC7AE4" w:rsidRDefault="00BB7104" w:rsidP="00BB7104">
            <w:pPr>
              <w:jc w:val="center"/>
            </w:pPr>
            <w:r w:rsidRPr="00AC7AE4">
              <w:lastRenderedPageBreak/>
              <w:t>X=PA*100/PO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318"/>
        <w:gridCol w:w="744"/>
        <w:gridCol w:w="567"/>
        <w:gridCol w:w="692"/>
        <w:gridCol w:w="583"/>
        <w:gridCol w:w="705"/>
        <w:gridCol w:w="570"/>
        <w:gridCol w:w="567"/>
        <w:gridCol w:w="710"/>
        <w:gridCol w:w="546"/>
        <w:gridCol w:w="588"/>
        <w:gridCol w:w="708"/>
        <w:gridCol w:w="710"/>
      </w:tblGrid>
      <w:tr w:rsidR="005C6958" w:rsidTr="00AC7AE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AC7AE4" w:rsidRDefault="005C6958" w:rsidP="00C3208D">
            <w:pPr>
              <w:jc w:val="center"/>
            </w:pPr>
            <w:r w:rsidRPr="00AC7AE4">
              <w:t xml:space="preserve">Cronograma </w:t>
            </w:r>
            <w:r w:rsidR="001F5B4A" w:rsidRPr="00AC7AE4">
              <w:t xml:space="preserve">Anual </w:t>
            </w:r>
            <w:r w:rsidR="00762157" w:rsidRPr="00AC7AE4">
              <w:t xml:space="preserve"> de Actividades</w:t>
            </w:r>
          </w:p>
        </w:tc>
      </w:tr>
      <w:tr w:rsidR="005F04CD" w:rsidRPr="002B2543" w:rsidTr="00AC7AE4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AC7AE4" w:rsidRDefault="005F04CD" w:rsidP="00F8764B">
            <w:r w:rsidRPr="00AC7AE4">
              <w:t xml:space="preserve">D) Actividades a realizar para la obtención del producto esperado </w:t>
            </w:r>
          </w:p>
        </w:tc>
        <w:tc>
          <w:tcPr>
            <w:tcW w:w="2956" w:type="pct"/>
            <w:gridSpan w:val="12"/>
            <w:shd w:val="clear" w:color="auto" w:fill="D9D9D9" w:themeFill="background1" w:themeFillShade="D9"/>
            <w:vAlign w:val="bottom"/>
          </w:tcPr>
          <w:p w:rsidR="005F04CD" w:rsidRPr="00AC7AE4" w:rsidRDefault="005F04CD" w:rsidP="00F8764B">
            <w:pPr>
              <w:jc w:val="center"/>
            </w:pPr>
            <w:r w:rsidRPr="00AC7AE4">
              <w:t>2017</w:t>
            </w:r>
          </w:p>
        </w:tc>
      </w:tr>
      <w:tr w:rsidR="00AC7AE4" w:rsidRPr="002B2543" w:rsidTr="00AC7AE4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Pr="00AC7AE4" w:rsidRDefault="005F04CD" w:rsidP="005F04CD"/>
        </w:tc>
        <w:tc>
          <w:tcPr>
            <w:tcW w:w="286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ENE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MZO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ABR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MAY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JUL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AGO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SEP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OCT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NOV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F04CD" w:rsidRPr="00AC7AE4" w:rsidRDefault="005F04CD" w:rsidP="005F04CD">
            <w:pPr>
              <w:jc w:val="center"/>
            </w:pPr>
            <w:r w:rsidRPr="00AC7AE4">
              <w:t>DIC</w:t>
            </w:r>
          </w:p>
        </w:tc>
        <w:bookmarkStart w:id="0" w:name="_GoBack"/>
        <w:bookmarkEnd w:id="0"/>
      </w:tr>
      <w:tr w:rsidR="00AC7AE4" w:rsidTr="00AC7AE4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C7AE4" w:rsidRDefault="00852A38" w:rsidP="00852A38">
            <w:pPr>
              <w:ind w:left="-60"/>
            </w:pPr>
            <w:r w:rsidRPr="00AC7AE4">
              <w:t>Curso de Administración de Documentos del Gobierno Municipal.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C7AE4" w:rsidRDefault="00852A38" w:rsidP="00852A38">
            <w:r w:rsidRPr="00AC7AE4">
              <w:t>Capacitación interna del personal que labora en el Archivo General Municipal.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E5503" w:rsidRPr="00AC7AE4" w:rsidRDefault="004E5503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E5503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852A38" w:rsidRDefault="004E5503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C7AE4" w:rsidRDefault="00852A38" w:rsidP="00852A38">
            <w:pPr>
              <w:ind w:left="-60"/>
            </w:pPr>
            <w:r w:rsidRPr="00AC7AE4">
              <w:t>Conferencia titulada: Los Archivos: Núcleo Básico para el Ejercicio del Derecho a la Información y Transparencia.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C7AE4" w:rsidRDefault="00852A38" w:rsidP="00691B6A">
            <w:r w:rsidRPr="00AC7AE4">
              <w:t>Conmemoración del día del Archivista.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C7AE4" w:rsidRDefault="00852A38" w:rsidP="001D4E0E">
            <w:pPr>
              <w:jc w:val="both"/>
            </w:pPr>
            <w:r w:rsidRPr="00AC7AE4">
              <w:t>Exposición fotográfica en el Congreso del Estado de Jalisco.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F5B4A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AC7AE4" w:rsidRDefault="001F5B4A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AC7AE4" w:rsidRDefault="00852A38" w:rsidP="001D4E0E">
            <w:pPr>
              <w:jc w:val="both"/>
            </w:pPr>
            <w:r w:rsidRPr="00AC7AE4">
              <w:t>Convocatoria de donaciones para el archivo.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AC7AE4" w:rsidRDefault="00852A38" w:rsidP="001D4E0E">
            <w:pPr>
              <w:jc w:val="both"/>
            </w:pPr>
            <w:r w:rsidRPr="00AC7AE4">
              <w:t>Segundo taller infantil “Jugando con Papel”.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AC7AE4" w:rsidRDefault="005E6C66" w:rsidP="001D4E0E">
            <w:pPr>
              <w:jc w:val="both"/>
            </w:pPr>
            <w:r w:rsidRPr="00AC7AE4">
              <w:t>Congreso Internacional de Archivos ICA.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852A38" w:rsidRPr="00AC7AE4" w:rsidRDefault="005E6C66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  <w:tr w:rsidR="00AC7AE4" w:rsidTr="00AC7AE4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AC7AE4" w:rsidRDefault="005E6C66" w:rsidP="001D4E0E">
            <w:pPr>
              <w:jc w:val="both"/>
            </w:pPr>
            <w:r w:rsidRPr="00AC7AE4">
              <w:t>Exposición fotográfica en San Martín de las Flores.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852A38" w:rsidRPr="00AC7AE4" w:rsidRDefault="00852A38" w:rsidP="00852A38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52A38" w:rsidRPr="00AC7AE4" w:rsidRDefault="005E6C66" w:rsidP="00852A38">
            <w:pPr>
              <w:jc w:val="center"/>
              <w:rPr>
                <w:sz w:val="20"/>
              </w:rPr>
            </w:pPr>
            <w:r w:rsidRPr="00AC7AE4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10584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AC7AE4" w:rsidRDefault="00436F32" w:rsidP="00010584">
            <w:pPr>
              <w:jc w:val="center"/>
              <w:rPr>
                <w:sz w:val="18"/>
              </w:rPr>
            </w:pPr>
            <w:r w:rsidRPr="00AC7AE4">
              <w:rPr>
                <w:sz w:val="18"/>
              </w:rPr>
              <w:t>$12</w:t>
            </w:r>
            <w:r w:rsidR="00010584" w:rsidRPr="00AC7AE4">
              <w:rPr>
                <w:sz w:val="18"/>
              </w:rPr>
              <w:t>,000.00</w:t>
            </w:r>
          </w:p>
        </w:tc>
      </w:tr>
      <w:tr w:rsidR="0042122F" w:rsidTr="00010584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AC7AE4" w:rsidRDefault="00436F32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36</w:t>
            </w:r>
            <w:r w:rsidR="00010584" w:rsidRPr="00AC7AE4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10584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AC7AE4" w:rsidRDefault="00010584" w:rsidP="000105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7AE4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B" w:rsidRDefault="00C1249B" w:rsidP="00831F7E">
      <w:pPr>
        <w:spacing w:after="0" w:line="240" w:lineRule="auto"/>
      </w:pPr>
      <w:r>
        <w:separator/>
      </w:r>
    </w:p>
  </w:endnote>
  <w:endnote w:type="continuationSeparator" w:id="0">
    <w:p w:rsidR="00C1249B" w:rsidRDefault="00C124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B" w:rsidRDefault="00C1249B" w:rsidP="00831F7E">
      <w:pPr>
        <w:spacing w:after="0" w:line="240" w:lineRule="auto"/>
      </w:pPr>
      <w:r>
        <w:separator/>
      </w:r>
    </w:p>
  </w:footnote>
  <w:footnote w:type="continuationSeparator" w:id="0">
    <w:p w:rsidR="00C1249B" w:rsidRDefault="00C1249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865"/>
    <w:multiLevelType w:val="hybridMultilevel"/>
    <w:tmpl w:val="D344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627E"/>
    <w:multiLevelType w:val="hybridMultilevel"/>
    <w:tmpl w:val="2F38E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3405"/>
    <w:multiLevelType w:val="hybridMultilevel"/>
    <w:tmpl w:val="D40ED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3D47"/>
    <w:multiLevelType w:val="hybridMultilevel"/>
    <w:tmpl w:val="5540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68F5"/>
    <w:multiLevelType w:val="hybridMultilevel"/>
    <w:tmpl w:val="B7549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7C1"/>
    <w:multiLevelType w:val="multilevel"/>
    <w:tmpl w:val="0B089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8C32E8"/>
    <w:multiLevelType w:val="hybridMultilevel"/>
    <w:tmpl w:val="66984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0584"/>
    <w:rsid w:val="00031BED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397C"/>
    <w:rsid w:val="001F5482"/>
    <w:rsid w:val="001F5B4A"/>
    <w:rsid w:val="00212E94"/>
    <w:rsid w:val="0021498C"/>
    <w:rsid w:val="00220993"/>
    <w:rsid w:val="0022207C"/>
    <w:rsid w:val="00244BBA"/>
    <w:rsid w:val="00244D0E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36F32"/>
    <w:rsid w:val="0045430B"/>
    <w:rsid w:val="004840BF"/>
    <w:rsid w:val="00485EB9"/>
    <w:rsid w:val="004A06C5"/>
    <w:rsid w:val="004B17E0"/>
    <w:rsid w:val="004C5BB6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62E2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6C66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19EC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2A38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2D58"/>
    <w:rsid w:val="00AB52C1"/>
    <w:rsid w:val="00AC7AE4"/>
    <w:rsid w:val="00AD4ED4"/>
    <w:rsid w:val="00AD667C"/>
    <w:rsid w:val="00AF641E"/>
    <w:rsid w:val="00AF730C"/>
    <w:rsid w:val="00B1501F"/>
    <w:rsid w:val="00B44A80"/>
    <w:rsid w:val="00B54A51"/>
    <w:rsid w:val="00B71F35"/>
    <w:rsid w:val="00BB7104"/>
    <w:rsid w:val="00BE28A4"/>
    <w:rsid w:val="00BE6B53"/>
    <w:rsid w:val="00BF4795"/>
    <w:rsid w:val="00C12013"/>
    <w:rsid w:val="00C1249B"/>
    <w:rsid w:val="00C228C7"/>
    <w:rsid w:val="00C3208D"/>
    <w:rsid w:val="00C47865"/>
    <w:rsid w:val="00CA2974"/>
    <w:rsid w:val="00D22792"/>
    <w:rsid w:val="00D3511F"/>
    <w:rsid w:val="00D4006C"/>
    <w:rsid w:val="00D50738"/>
    <w:rsid w:val="00D81A12"/>
    <w:rsid w:val="00DA1F68"/>
    <w:rsid w:val="00DB0FA4"/>
    <w:rsid w:val="00DB2847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E76E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C5B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C5B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ys.perezlete@tlaquepaqu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laura.perez</cp:lastModifiedBy>
  <cp:revision>3</cp:revision>
  <cp:lastPrinted>2016-06-21T16:36:00Z</cp:lastPrinted>
  <dcterms:created xsi:type="dcterms:W3CDTF">2016-11-14T19:11:00Z</dcterms:created>
  <dcterms:modified xsi:type="dcterms:W3CDTF">2016-11-22T17:56:00Z</dcterms:modified>
</cp:coreProperties>
</file>