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-497205</wp:posOffset>
            </wp:positionV>
            <wp:extent cx="790575" cy="9715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92FB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2FBE" w:rsidRDefault="00E92FBE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92FBE" w:rsidRPr="00A40F7F" w:rsidRDefault="00E92FBE" w:rsidP="0086220D">
            <w:pPr>
              <w:jc w:val="both"/>
            </w:pPr>
            <w:r w:rsidRPr="00A40F7F">
              <w:rPr>
                <w:rFonts w:ascii="Arial" w:hAnsi="Arial" w:cs="Arial"/>
                <w:sz w:val="20"/>
                <w:szCs w:val="20"/>
              </w:rPr>
              <w:t xml:space="preserve">Programa de mejora en el resguardo y </w:t>
            </w:r>
            <w:r w:rsidRPr="00A40F7F">
              <w:rPr>
                <w:rFonts w:ascii="Arial" w:hAnsi="Arial" w:cs="Arial"/>
                <w:color w:val="000000"/>
                <w:sz w:val="20"/>
                <w:szCs w:val="20"/>
              </w:rPr>
              <w:t xml:space="preserve">renovación </w:t>
            </w:r>
            <w:r w:rsidRPr="00A40F7F">
              <w:rPr>
                <w:rFonts w:ascii="Arial" w:hAnsi="Arial" w:cs="Arial"/>
                <w:sz w:val="20"/>
                <w:szCs w:val="20"/>
              </w:rPr>
              <w:t>de las armerías.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2FBE" w:rsidRDefault="00E92FB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2FBE" w:rsidRDefault="00E92FBE" w:rsidP="00B75DCD">
            <w:r>
              <w:t>5</w:t>
            </w:r>
          </w:p>
        </w:tc>
      </w:tr>
      <w:tr w:rsidR="00E92FB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2FBE" w:rsidRDefault="00E92FBE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92FBE" w:rsidRDefault="00E92FBE" w:rsidP="00AE7F03">
            <w:r w:rsidRPr="00205637">
              <w:t>Dirección Técnica y de Planeación Estratégica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2FBE" w:rsidRDefault="00E92FB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2FBE" w:rsidRDefault="00E92FBE" w:rsidP="00B75DCD">
            <w:r>
              <w:t>5.7</w:t>
            </w:r>
          </w:p>
        </w:tc>
      </w:tr>
      <w:tr w:rsidR="00E92FBE" w:rsidTr="0086220D">
        <w:trPr>
          <w:trHeight w:val="567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92FBE" w:rsidRDefault="00E92FBE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92FBE" w:rsidRDefault="00E92FBE" w:rsidP="00AE7F03">
            <w:pPr>
              <w:jc w:val="both"/>
            </w:pPr>
            <w:r>
              <w:t>La  adecuación</w:t>
            </w:r>
            <w:r w:rsidRPr="00205637">
              <w:t xml:space="preserve"> </w:t>
            </w:r>
            <w:r>
              <w:t xml:space="preserve"> física </w:t>
            </w:r>
            <w:r w:rsidRPr="00205637">
              <w:t xml:space="preserve">para el resguardo de las armas, cartuchos y equipo táctico utilizado por esta </w:t>
            </w:r>
            <w:r w:rsidR="005F218D" w:rsidRPr="00205637">
              <w:t>corporación,</w:t>
            </w:r>
            <w:r w:rsidRPr="00205637">
              <w:t xml:space="preserve"> ya que actualmente no se cuenta con el</w:t>
            </w:r>
            <w:r>
              <w:t xml:space="preserve"> </w:t>
            </w:r>
            <w:r w:rsidRPr="00205637">
              <w:t xml:space="preserve">espacio idóneo y no cumple con los requerimientos que se </w:t>
            </w:r>
            <w:r>
              <w:t xml:space="preserve">marcan por parte de </w:t>
            </w:r>
            <w:r w:rsidRPr="00205637">
              <w:t xml:space="preserve"> la SEDENA.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2FBE" w:rsidRDefault="00E92FB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2FBE" w:rsidRDefault="00E92FBE" w:rsidP="00B75DCD"/>
        </w:tc>
      </w:tr>
      <w:tr w:rsidR="00FA5E7E" w:rsidTr="00E0271D">
        <w:trPr>
          <w:trHeight w:val="54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AB1D63" w:rsidRDefault="00AB1D63" w:rsidP="00AE7F03">
            <w:pPr>
              <w:jc w:val="both"/>
            </w:pPr>
            <w:r w:rsidRPr="00205637">
              <w:t>En el Edificio de la Comisaria de la Policía Preventiva Municipal</w:t>
            </w:r>
            <w:r w:rsidR="00DE50F9">
              <w:t xml:space="preserve">; </w:t>
            </w:r>
            <w:r w:rsidR="00D729B4">
              <w:t>así como en</w:t>
            </w:r>
            <w:r w:rsidR="00C565AC">
              <w:t xml:space="preserve">  los sectores, agrupamientos y direcciones que resguarden armamento y cartuchos</w:t>
            </w:r>
            <w:r w:rsidR="005F218D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AB1D63" w:rsidRPr="00205637" w:rsidRDefault="00DE50F9" w:rsidP="00E0271D">
            <w:pPr>
              <w:jc w:val="both"/>
            </w:pPr>
            <w:r>
              <w:t>Lic. María de la Luz Duarte Avalos</w:t>
            </w:r>
            <w:r w:rsidR="00E0271D">
              <w:t xml:space="preserve">. </w:t>
            </w:r>
            <w:r w:rsidR="00AB1D63" w:rsidRPr="00205637">
              <w:t>Tel: 33-45-59-25</w:t>
            </w:r>
          </w:p>
          <w:p w:rsidR="00121462" w:rsidRDefault="00AB1D63" w:rsidP="00E0271D">
            <w:pPr>
              <w:jc w:val="both"/>
            </w:pPr>
            <w:r w:rsidRPr="00205637">
              <w:t xml:space="preserve">Correo Electrónico : </w:t>
            </w:r>
            <w:hyperlink r:id="rId7" w:history="1">
              <w:r w:rsidR="000D27C8" w:rsidRPr="009D0FC4">
                <w:rPr>
                  <w:rStyle w:val="Hipervnculo"/>
                </w:rPr>
                <w:t>maria.duarte@tlaquepaque.gob.mx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7E1943">
        <w:trPr>
          <w:trHeight w:val="24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EE460C" w:rsidP="007E1943">
            <w:pPr>
              <w:jc w:val="both"/>
            </w:pPr>
            <w:r w:rsidRPr="00EE460C">
              <w:t>Espacios destinados para el resguardo de la armería e insumos policiales como cartuchos y equipo táctico remodelados y equipados.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BD68DC" w:rsidP="0034644A">
            <w:pPr>
              <w:jc w:val="both"/>
            </w:pPr>
            <w:r w:rsidRPr="00BD68DC">
              <w:t>De manera directa los policías en los Sectores y A</w:t>
            </w:r>
            <w:r w:rsidR="005868EB" w:rsidRPr="00BD68DC">
              <w:t>grupamientos</w:t>
            </w:r>
            <w:r w:rsidRPr="00BD68DC">
              <w:t xml:space="preserve"> e indirectamente</w:t>
            </w:r>
            <w:r w:rsidR="005868EB" w:rsidRPr="00BD68DC">
              <w:t xml:space="preserve"> toda aquella población </w:t>
            </w:r>
            <w:r w:rsidRPr="00BD68DC">
              <w:t xml:space="preserve">y vecinos de los alrededores por el adecuado </w:t>
            </w:r>
            <w:r w:rsidR="005868EB" w:rsidRPr="00BD68DC">
              <w:t>aseguramien</w:t>
            </w:r>
            <w:r w:rsidRPr="00BD68DC">
              <w:t xml:space="preserve">to y resguardo adecuado de armas, en lugares idóneos y </w:t>
            </w:r>
            <w:r w:rsidR="005868EB" w:rsidRPr="00BD68DC">
              <w:t xml:space="preserve">en virtud </w:t>
            </w:r>
            <w:r w:rsidRPr="00BD68DC">
              <w:t xml:space="preserve">que </w:t>
            </w:r>
            <w:r w:rsidR="005868EB" w:rsidRPr="00BD68DC">
              <w:t xml:space="preserve"> serán utilizadas para objetivos específicos</w:t>
            </w:r>
            <w:r w:rsidRPr="00BD68DC">
              <w:t xml:space="preserve"> y con la </w:t>
            </w:r>
            <w:r w:rsidR="005868EB" w:rsidRPr="00BD68DC">
              <w:t xml:space="preserve"> posibilidad de contener de manera inmediata cualquier incidente</w:t>
            </w:r>
            <w:r>
              <w:t>.</w:t>
            </w:r>
            <w:r w:rsidR="005868EB">
              <w:t xml:space="preserve">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E1430" w:rsidP="00EE1430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E1430" w:rsidP="00EE1430">
            <w:pPr>
              <w:jc w:val="center"/>
            </w:pPr>
            <w:r>
              <w:t>31 de Diciembre del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AB1D63" w:rsidP="00EE1430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</w:t>
      </w:r>
      <w:r w:rsidR="006A27D8">
        <w:rPr>
          <w:sz w:val="28"/>
        </w:rPr>
        <w:t>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72"/>
        <w:gridCol w:w="888"/>
        <w:gridCol w:w="839"/>
        <w:gridCol w:w="326"/>
        <w:gridCol w:w="325"/>
        <w:gridCol w:w="906"/>
        <w:gridCol w:w="320"/>
        <w:gridCol w:w="319"/>
        <w:gridCol w:w="883"/>
        <w:gridCol w:w="794"/>
        <w:gridCol w:w="906"/>
        <w:gridCol w:w="828"/>
        <w:gridCol w:w="911"/>
        <w:gridCol w:w="987"/>
        <w:gridCol w:w="802"/>
      </w:tblGrid>
      <w:tr w:rsidR="000473B9" w:rsidTr="00553CDF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813" w:type="pct"/>
            <w:gridSpan w:val="14"/>
            <w:shd w:val="clear" w:color="auto" w:fill="auto"/>
          </w:tcPr>
          <w:p w:rsidR="005461F3" w:rsidRDefault="00120308" w:rsidP="00120308">
            <w:pPr>
              <w:jc w:val="both"/>
            </w:pPr>
            <w:r>
              <w:t>Remodelación de la Armería en el</w:t>
            </w:r>
            <w:r w:rsidR="007A6B74" w:rsidRPr="00120308">
              <w:t xml:space="preserve"> edificio</w:t>
            </w:r>
            <w:r w:rsidR="005868EB" w:rsidRPr="00120308">
              <w:t xml:space="preserve"> central</w:t>
            </w:r>
            <w:r w:rsidR="00F66E3B">
              <w:t xml:space="preserve"> y</w:t>
            </w:r>
            <w:r w:rsidR="007A6B74" w:rsidRPr="00120308">
              <w:t xml:space="preserve"> </w:t>
            </w:r>
            <w:r w:rsidR="005868EB" w:rsidRPr="00120308">
              <w:t xml:space="preserve">las </w:t>
            </w:r>
            <w:r w:rsidR="007A6B74" w:rsidRPr="00120308">
              <w:t>adecuaciones físicas</w:t>
            </w:r>
            <w:r w:rsidR="005868EB" w:rsidRPr="00120308">
              <w:t xml:space="preserve"> en los sectores y agrupamientos</w:t>
            </w:r>
            <w:r w:rsidR="00F66E3B">
              <w:t>. M</w:t>
            </w:r>
            <w:r w:rsidR="007A6B74" w:rsidRPr="00120308">
              <w:t>obiliario y equipo necesarios.</w:t>
            </w:r>
            <w:r w:rsidR="007E1943">
              <w:t xml:space="preserve"> Un espacio en cada Sector y Agrupamiento así como en la Armería Central, renovado y adecuado para resguardo del  armamento y equipo táctico</w:t>
            </w:r>
          </w:p>
        </w:tc>
      </w:tr>
      <w:tr w:rsidR="00A57343" w:rsidTr="00553CDF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813" w:type="pct"/>
            <w:gridSpan w:val="14"/>
            <w:shd w:val="clear" w:color="auto" w:fill="auto"/>
          </w:tcPr>
          <w:p w:rsidR="00A57343" w:rsidRDefault="007A6B74" w:rsidP="00DD5358">
            <w:pPr>
              <w:jc w:val="both"/>
            </w:pPr>
            <w:r>
              <w:t>Autorización d</w:t>
            </w:r>
            <w:r w:rsidR="00155BA4">
              <w:t>el presupuest</w:t>
            </w:r>
            <w:r>
              <w:t>o para iniciar la obra y compra del mobiliario necesario.</w:t>
            </w:r>
          </w:p>
        </w:tc>
      </w:tr>
      <w:tr w:rsidR="00E92FBE" w:rsidTr="00553CDF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E92FBE" w:rsidRDefault="00E92FBE" w:rsidP="005461F3">
            <w:r>
              <w:t xml:space="preserve">Indicador de Resultados vinculado al PMD según Línea de Acción </w:t>
            </w:r>
          </w:p>
        </w:tc>
        <w:tc>
          <w:tcPr>
            <w:tcW w:w="3813" w:type="pct"/>
            <w:gridSpan w:val="14"/>
            <w:shd w:val="clear" w:color="auto" w:fill="FABF8F" w:themeFill="accent6" w:themeFillTint="99"/>
          </w:tcPr>
          <w:p w:rsidR="00E92FBE" w:rsidRDefault="00E92FBE" w:rsidP="00B75DCD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en porcentaje de acciones efectivas y oportunas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E92FBE" w:rsidTr="00553CDF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E92FBE" w:rsidRDefault="00E92FBE" w:rsidP="0003322C">
            <w:r>
              <w:t xml:space="preserve">Indicador vinculado a los Objetivos de Desarrollo Sostenible </w:t>
            </w:r>
          </w:p>
        </w:tc>
        <w:tc>
          <w:tcPr>
            <w:tcW w:w="3813" w:type="pct"/>
            <w:gridSpan w:val="14"/>
            <w:shd w:val="clear" w:color="auto" w:fill="FABF8F" w:themeFill="accent6" w:themeFillTint="99"/>
          </w:tcPr>
          <w:p w:rsidR="00E92FBE" w:rsidRDefault="00E92FBE" w:rsidP="00B75DCD">
            <w:r>
              <w:t>16</w:t>
            </w:r>
          </w:p>
        </w:tc>
      </w:tr>
      <w:tr w:rsidR="0003322C" w:rsidTr="00553CDF">
        <w:tc>
          <w:tcPr>
            <w:tcW w:w="1187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79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94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40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553CDF">
        <w:tc>
          <w:tcPr>
            <w:tcW w:w="1187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79" w:type="pct"/>
            <w:gridSpan w:val="3"/>
            <w:shd w:val="clear" w:color="auto" w:fill="auto"/>
          </w:tcPr>
          <w:p w:rsidR="0003322C" w:rsidRDefault="007A6B74" w:rsidP="00DD5358">
            <w:r>
              <w:t>50%</w:t>
            </w:r>
          </w:p>
        </w:tc>
        <w:tc>
          <w:tcPr>
            <w:tcW w:w="1694" w:type="pct"/>
            <w:gridSpan w:val="7"/>
            <w:shd w:val="clear" w:color="auto" w:fill="auto"/>
          </w:tcPr>
          <w:p w:rsidR="0003322C" w:rsidRDefault="007A6B74" w:rsidP="00DD5358">
            <w:r>
              <w:t>100%</w:t>
            </w:r>
          </w:p>
        </w:tc>
        <w:tc>
          <w:tcPr>
            <w:tcW w:w="1340" w:type="pct"/>
            <w:gridSpan w:val="4"/>
            <w:shd w:val="clear" w:color="auto" w:fill="auto"/>
          </w:tcPr>
          <w:p w:rsidR="0003322C" w:rsidRDefault="0003322C" w:rsidP="00DD5358"/>
        </w:tc>
      </w:tr>
      <w:tr w:rsidR="00750292" w:rsidTr="00553CDF">
        <w:tc>
          <w:tcPr>
            <w:tcW w:w="1187" w:type="pct"/>
            <w:shd w:val="clear" w:color="auto" w:fill="D9D9D9" w:themeFill="background1" w:themeFillShade="D9"/>
          </w:tcPr>
          <w:p w:rsidR="00750292" w:rsidRDefault="00750292" w:rsidP="00831976">
            <w:r>
              <w:t>C) Valor Inicial de la Meta</w:t>
            </w:r>
          </w:p>
        </w:tc>
        <w:tc>
          <w:tcPr>
            <w:tcW w:w="1370" w:type="pct"/>
            <w:gridSpan w:val="6"/>
            <w:shd w:val="clear" w:color="auto" w:fill="D9D9D9" w:themeFill="background1" w:themeFillShade="D9"/>
          </w:tcPr>
          <w:p w:rsidR="00750292" w:rsidRDefault="00750292" w:rsidP="00FA4CA7">
            <w:pPr>
              <w:jc w:val="center"/>
            </w:pPr>
            <w:r>
              <w:t>Valor final de la Meta</w:t>
            </w:r>
          </w:p>
        </w:tc>
        <w:tc>
          <w:tcPr>
            <w:tcW w:w="1417" w:type="pct"/>
            <w:gridSpan w:val="5"/>
            <w:shd w:val="clear" w:color="auto" w:fill="D9D9D9" w:themeFill="background1" w:themeFillShade="D9"/>
          </w:tcPr>
          <w:p w:rsidR="00750292" w:rsidRDefault="00750292">
            <w:pPr>
              <w:jc w:val="center"/>
            </w:pPr>
            <w:r>
              <w:t>Nombre del indicador</w:t>
            </w:r>
          </w:p>
        </w:tc>
        <w:tc>
          <w:tcPr>
            <w:tcW w:w="1025" w:type="pct"/>
            <w:gridSpan w:val="3"/>
            <w:shd w:val="clear" w:color="auto" w:fill="D9D9D9" w:themeFill="background1" w:themeFillShade="D9"/>
          </w:tcPr>
          <w:p w:rsidR="00750292" w:rsidRDefault="00750292">
            <w:pPr>
              <w:jc w:val="center"/>
            </w:pPr>
            <w:r>
              <w:t>Formula del indicador</w:t>
            </w:r>
          </w:p>
        </w:tc>
      </w:tr>
      <w:tr w:rsidR="00750292" w:rsidTr="00553CDF">
        <w:tc>
          <w:tcPr>
            <w:tcW w:w="1187" w:type="pct"/>
            <w:shd w:val="clear" w:color="auto" w:fill="auto"/>
          </w:tcPr>
          <w:p w:rsidR="007E1943" w:rsidRDefault="007E1943" w:rsidP="007A72C9">
            <w:pPr>
              <w:jc w:val="center"/>
            </w:pPr>
            <w:r>
              <w:t>6 Armerías Remodeladas</w:t>
            </w:r>
            <w:r w:rsidR="007A72C9">
              <w:t xml:space="preserve">, </w:t>
            </w:r>
            <w:r>
              <w:t xml:space="preserve"> Armerías Equipadas</w:t>
            </w:r>
          </w:p>
        </w:tc>
        <w:tc>
          <w:tcPr>
            <w:tcW w:w="1370" w:type="pct"/>
            <w:gridSpan w:val="6"/>
            <w:shd w:val="clear" w:color="auto" w:fill="auto"/>
          </w:tcPr>
          <w:p w:rsidR="00750292" w:rsidRDefault="007E1943" w:rsidP="009515B2">
            <w:pPr>
              <w:jc w:val="center"/>
            </w:pPr>
            <w:r>
              <w:t>6 Armerías Remodeladas</w:t>
            </w:r>
            <w:r w:rsidR="009515B2">
              <w:t xml:space="preserve">, </w:t>
            </w:r>
            <w:r>
              <w:t>6 Armerías Equipadas</w:t>
            </w:r>
          </w:p>
        </w:tc>
        <w:tc>
          <w:tcPr>
            <w:tcW w:w="1417" w:type="pct"/>
            <w:gridSpan w:val="5"/>
            <w:shd w:val="clear" w:color="auto" w:fill="auto"/>
          </w:tcPr>
          <w:p w:rsidR="00750292" w:rsidRDefault="00EE460C" w:rsidP="00CE05C5">
            <w:pPr>
              <w:jc w:val="both"/>
            </w:pPr>
            <w:r w:rsidRPr="00EE460C">
              <w:t>Número de espacios de resguardo de armamento e insumos policiales remodelados de conformidad a las normas oficiales de la Secretaría de Defensa Nacional (SEDENA).</w:t>
            </w:r>
          </w:p>
        </w:tc>
        <w:tc>
          <w:tcPr>
            <w:tcW w:w="1025" w:type="pct"/>
            <w:gridSpan w:val="3"/>
            <w:shd w:val="clear" w:color="auto" w:fill="auto"/>
          </w:tcPr>
          <w:p w:rsidR="00750292" w:rsidRDefault="00750292" w:rsidP="00750292">
            <w:pPr>
              <w:jc w:val="both"/>
            </w:pPr>
          </w:p>
        </w:tc>
      </w:tr>
      <w:tr w:rsidR="0003322C" w:rsidTr="00553CDF">
        <w:tc>
          <w:tcPr>
            <w:tcW w:w="2557" w:type="pct"/>
            <w:gridSpan w:val="7"/>
            <w:shd w:val="clear" w:color="auto" w:fill="D9D9D9" w:themeFill="background1" w:themeFillShade="D9"/>
          </w:tcPr>
          <w:p w:rsidR="0003322C" w:rsidRPr="00553CDF" w:rsidRDefault="0003322C" w:rsidP="00296300">
            <w:pPr>
              <w:rPr>
                <w:sz w:val="20"/>
                <w:szCs w:val="20"/>
              </w:rPr>
            </w:pPr>
            <w:r w:rsidRPr="00553CDF">
              <w:rPr>
                <w:sz w:val="20"/>
                <w:szCs w:val="20"/>
              </w:rPr>
              <w:t>Clave de presupuesto determinada en Finanzas para la etiquetación de recursos</w:t>
            </w:r>
          </w:p>
        </w:tc>
        <w:tc>
          <w:tcPr>
            <w:tcW w:w="2443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553CDF">
        <w:trPr>
          <w:trHeight w:val="321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553CDF">
        <w:trPr>
          <w:trHeight w:val="485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F66E3B" w:rsidP="005868EB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5868EB">
              <w:rPr>
                <w:sz w:val="20"/>
              </w:rPr>
              <w:t xml:space="preserve">signación </w:t>
            </w:r>
            <w:r w:rsidR="006E0181">
              <w:rPr>
                <w:sz w:val="20"/>
              </w:rPr>
              <w:t>del Recurso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E0181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E0181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6E0181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Inicio de Obra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F66E3B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E0181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6E0181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Duración de la obra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6E0181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6E0181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E0181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6E0181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Compra del mobiliario y adecuaciones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6E0181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E0181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</w:tbl>
    <w:p w:rsidR="00220D06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lastRenderedPageBreak/>
        <w:t>Elaborado por: DGPP / PP / PLV</w:t>
      </w:r>
    </w:p>
    <w:p w:rsidR="00A74FAF" w:rsidRDefault="00A74FAF" w:rsidP="00A74FAF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-220980</wp:posOffset>
            </wp:positionV>
            <wp:extent cx="790575" cy="971550"/>
            <wp:effectExtent l="19050" t="0" r="9525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A74FAF" w:rsidRPr="0068316A" w:rsidRDefault="00A74FAF" w:rsidP="00A74FAF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74FAF" w:rsidRPr="003F5FFE" w:rsidRDefault="00EE460C" w:rsidP="00AB1D63">
            <w:pPr>
              <w:jc w:val="both"/>
            </w:pPr>
            <w:r w:rsidRPr="00EE460C">
              <w:rPr>
                <w:rFonts w:ascii="Arial" w:hAnsi="Arial" w:cs="Arial"/>
                <w:color w:val="000000"/>
                <w:sz w:val="20"/>
                <w:szCs w:val="20"/>
              </w:rPr>
              <w:t>Rehabilitación, renovación y mantenimiento del armamento.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E92FBE" w:rsidP="00AB1D63">
            <w:r>
              <w:t>5</w:t>
            </w:r>
          </w:p>
        </w:tc>
      </w:tr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714ED" w:rsidRDefault="006714ED" w:rsidP="006714ED">
            <w:r w:rsidRPr="00205637">
              <w:t>Dirección Técnica y de Planeación Estratégica</w:t>
            </w:r>
          </w:p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E92FBE" w:rsidP="00AB1D63">
            <w:r>
              <w:t>5.7</w:t>
            </w:r>
          </w:p>
        </w:tc>
      </w:tr>
      <w:tr w:rsidR="00A74FAF" w:rsidTr="00AB1D6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4FAF" w:rsidRDefault="00A74FAF" w:rsidP="00AB1D6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74FAF" w:rsidRDefault="00EE6061" w:rsidP="00AB1D63">
            <w:pPr>
              <w:jc w:val="both"/>
            </w:pPr>
            <w:r>
              <w:t>Desde los 90´s no existe un antecedente de reparación y mantenimiento de las armas</w:t>
            </w:r>
            <w:r w:rsidR="00F66E3B">
              <w:t>,</w:t>
            </w:r>
            <w:r w:rsidR="00BC00A9">
              <w:t xml:space="preserve"> lo cual pone en riesgo al elemento operativo al momento de desempeñar su función policial así como a la  ciudadanía.</w:t>
            </w:r>
            <w:r w:rsidR="00C426F5">
              <w:t xml:space="preserve"> Aunado a que el equipo queda obsoleto frente a la delincuenc</w:t>
            </w:r>
            <w:r w:rsidR="00D7588C">
              <w:t>ia que cada día tiene armas mas sofisticadas</w:t>
            </w:r>
            <w:r w:rsidR="00C426F5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6662" w:type="dxa"/>
            <w:gridSpan w:val="6"/>
            <w:vMerge/>
          </w:tcPr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4FAF" w:rsidRDefault="00A74FAF" w:rsidP="00AB1D6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A74FAF" w:rsidRDefault="00EE6061" w:rsidP="00AB1D63">
            <w:pPr>
              <w:jc w:val="both"/>
            </w:pPr>
            <w:r>
              <w:t>E</w:t>
            </w:r>
            <w:r w:rsidR="006714ED">
              <w:t xml:space="preserve">n </w:t>
            </w:r>
            <w:r>
              <w:t xml:space="preserve">los </w:t>
            </w:r>
            <w:r w:rsidR="006714ED">
              <w:t>5 Sectores</w:t>
            </w:r>
            <w:r>
              <w:t xml:space="preserve"> y Agrupamientos</w:t>
            </w:r>
            <w:r w:rsidR="00D7588C">
              <w:t>,</w:t>
            </w:r>
            <w:r>
              <w:t xml:space="preserve"> así como en la Academia y diferentes Áreas</w:t>
            </w:r>
            <w:r w:rsidR="00BC00A9">
              <w:t xml:space="preserve"> con elementos armados.</w:t>
            </w:r>
          </w:p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6662" w:type="dxa"/>
            <w:gridSpan w:val="6"/>
            <w:vMerge/>
          </w:tcPr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62A87" w:rsidRPr="00205637" w:rsidRDefault="006714ED" w:rsidP="00A922E6">
            <w:pPr>
              <w:jc w:val="both"/>
            </w:pPr>
            <w:r>
              <w:t>M</w:t>
            </w:r>
            <w:r w:rsidR="00155BA4">
              <w:t>aría de la Luz Duarte Avalos</w:t>
            </w:r>
            <w:r w:rsidR="00A922E6">
              <w:t xml:space="preserve">. </w:t>
            </w:r>
            <w:r w:rsidR="00662A87" w:rsidRPr="00205637">
              <w:t>Tel: 33-45-59-25</w:t>
            </w:r>
          </w:p>
          <w:p w:rsidR="00662A87" w:rsidRDefault="00662A87" w:rsidP="00662A87">
            <w:pPr>
              <w:jc w:val="both"/>
            </w:pPr>
            <w:r w:rsidRPr="00205637">
              <w:t xml:space="preserve">Correo Electrónico : </w:t>
            </w:r>
            <w:hyperlink r:id="rId8" w:history="1">
              <w:r w:rsidRPr="009D0FC4">
                <w:rPr>
                  <w:rStyle w:val="Hipervnculo"/>
                </w:rPr>
                <w:t>maria.duarte@Tlaquepaque.gob.mx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D74AE5">
        <w:trPr>
          <w:trHeight w:val="29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4FAF" w:rsidRDefault="00A74FAF" w:rsidP="00AB1D6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A74FAF" w:rsidRDefault="00EE460C" w:rsidP="004E7E39">
            <w:pPr>
              <w:jc w:val="both"/>
            </w:pPr>
            <w:r w:rsidRPr="00EE460C">
              <w:t>Servicios de mantenimiento, rehabilitación y renovación de armamento realizados.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6662" w:type="dxa"/>
            <w:gridSpan w:val="6"/>
            <w:vMerge/>
          </w:tcPr>
          <w:p w:rsidR="00A74FAF" w:rsidRDefault="00A74FAF" w:rsidP="00AB1D6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A74FAF" w:rsidRDefault="006714ED" w:rsidP="00AB1D63">
            <w:pPr>
              <w:jc w:val="both"/>
            </w:pPr>
            <w:r>
              <w:t>Elementos Operativos</w:t>
            </w:r>
          </w:p>
        </w:tc>
      </w:tr>
      <w:tr w:rsidR="00A74FAF" w:rsidTr="00AB1D63">
        <w:tc>
          <w:tcPr>
            <w:tcW w:w="4599" w:type="dxa"/>
            <w:gridSpan w:val="5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Fecha de Cierre</w:t>
            </w:r>
          </w:p>
        </w:tc>
      </w:tr>
      <w:tr w:rsidR="00A74FAF" w:rsidTr="00AB1D63">
        <w:tc>
          <w:tcPr>
            <w:tcW w:w="1092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74FAF" w:rsidRDefault="00A74FAF" w:rsidP="00AB1D63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74FAF" w:rsidRDefault="00A74FAF" w:rsidP="00AB1D63">
            <w:pPr>
              <w:jc w:val="center"/>
            </w:pPr>
            <w:r>
              <w:t>31 de Diciembre del 2017</w:t>
            </w:r>
          </w:p>
        </w:tc>
      </w:tr>
      <w:tr w:rsidR="00A74FAF" w:rsidTr="00AB1D63">
        <w:tc>
          <w:tcPr>
            <w:tcW w:w="1092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1060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915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1532" w:type="dxa"/>
            <w:gridSpan w:val="2"/>
          </w:tcPr>
          <w:p w:rsidR="00A74FAF" w:rsidRDefault="00EE6061" w:rsidP="00AB1D63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1417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x</w:t>
            </w:r>
          </w:p>
        </w:tc>
      </w:tr>
      <w:tr w:rsidR="00A74FAF" w:rsidTr="00AB1D63">
        <w:tc>
          <w:tcPr>
            <w:tcW w:w="3067" w:type="dxa"/>
            <w:gridSpan w:val="3"/>
            <w:shd w:val="clear" w:color="auto" w:fill="D9D9D9" w:themeFill="background1" w:themeFillShade="D9"/>
          </w:tcPr>
          <w:p w:rsidR="00A74FAF" w:rsidRDefault="00A74FAF" w:rsidP="00AB1D6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A74FAF" w:rsidRDefault="00A74FAF" w:rsidP="00AB1D6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98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25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946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74" w:type="dxa"/>
            <w:shd w:val="clear" w:color="auto" w:fill="FABF8F" w:themeFill="accent6" w:themeFillTint="99"/>
          </w:tcPr>
          <w:p w:rsidR="00A74FAF" w:rsidRDefault="00A74FAF" w:rsidP="00AB1D63"/>
        </w:tc>
      </w:tr>
    </w:tbl>
    <w:p w:rsidR="00A74FAF" w:rsidRDefault="00A74FAF" w:rsidP="00A74FAF">
      <w:r>
        <w:br w:type="page"/>
      </w:r>
    </w:p>
    <w:p w:rsidR="00A74FAF" w:rsidRDefault="00A74FAF" w:rsidP="00A74FAF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A74FAF" w:rsidRDefault="00A74FAF" w:rsidP="00A74FAF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742"/>
        <w:gridCol w:w="947"/>
        <w:gridCol w:w="890"/>
        <w:gridCol w:w="326"/>
        <w:gridCol w:w="325"/>
        <w:gridCol w:w="965"/>
        <w:gridCol w:w="320"/>
        <w:gridCol w:w="319"/>
        <w:gridCol w:w="940"/>
        <w:gridCol w:w="841"/>
        <w:gridCol w:w="969"/>
        <w:gridCol w:w="270"/>
        <w:gridCol w:w="269"/>
        <w:gridCol w:w="974"/>
        <w:gridCol w:w="1057"/>
        <w:gridCol w:w="852"/>
      </w:tblGrid>
      <w:tr w:rsidR="00A74FAF" w:rsidTr="00750292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A74FAF" w:rsidRDefault="00A74FAF" w:rsidP="00AB1D63">
            <w:r>
              <w:t xml:space="preserve">A)Actividades a realizar para la obtención del producto esperado </w:t>
            </w:r>
          </w:p>
        </w:tc>
        <w:tc>
          <w:tcPr>
            <w:tcW w:w="3876" w:type="pct"/>
            <w:gridSpan w:val="15"/>
            <w:shd w:val="clear" w:color="auto" w:fill="auto"/>
          </w:tcPr>
          <w:p w:rsidR="001573F0" w:rsidRDefault="001573F0" w:rsidP="00E12AD3">
            <w:pPr>
              <w:jc w:val="both"/>
            </w:pPr>
            <w:r>
              <w:t>A</w:t>
            </w:r>
            <w:r w:rsidR="00E01535">
              <w:t>cudi</w:t>
            </w:r>
            <w:r>
              <w:t>r</w:t>
            </w:r>
            <w:r w:rsidR="00E01535">
              <w:t xml:space="preserve"> a los sectores </w:t>
            </w:r>
            <w:r>
              <w:t>y Agrupamientos</w:t>
            </w:r>
            <w:r w:rsidR="00E01535">
              <w:t xml:space="preserve"> para realizar un inventario general y a su vez una revisión exhaustiva de </w:t>
            </w:r>
            <w:r w:rsidR="00E71DF0">
              <w:t>las condiciones</w:t>
            </w:r>
            <w:r w:rsidR="00E01535">
              <w:t xml:space="preserve"> reales del armamento que ahí </w:t>
            </w:r>
            <w:r w:rsidR="002B6AC4">
              <w:t>se resguarda.</w:t>
            </w:r>
            <w:r>
              <w:t xml:space="preserve"> </w:t>
            </w:r>
            <w:r w:rsidR="009F3D1F">
              <w:t xml:space="preserve"> </w:t>
            </w:r>
            <w:r>
              <w:t xml:space="preserve">Elaborar un listado preliminar </w:t>
            </w:r>
            <w:r w:rsidR="00D7588C">
              <w:t>clasificando el armamento en buenas c</w:t>
            </w:r>
            <w:r w:rsidR="002B6AC4">
              <w:t>ondiciones</w:t>
            </w:r>
            <w:r w:rsidR="00B006E2">
              <w:t>,</w:t>
            </w:r>
            <w:r w:rsidR="00D7588C">
              <w:t xml:space="preserve"> el que requiere solo reparaciones o sustitución de piezas y el que se tiene que dar de baja</w:t>
            </w:r>
            <w:r w:rsidR="002B6AC4">
              <w:t>.</w:t>
            </w:r>
            <w:r w:rsidR="00E12AD3">
              <w:t xml:space="preserve"> (VALOR INICIAL 500-VALOR FINAL 927)</w:t>
            </w:r>
          </w:p>
        </w:tc>
      </w:tr>
      <w:tr w:rsidR="00A74FAF" w:rsidTr="00750292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A74FAF" w:rsidRDefault="00A74FAF" w:rsidP="00AB1D63">
            <w:r>
              <w:t>B) Principal producto esperado (base para el establecimiento de metas)</w:t>
            </w:r>
          </w:p>
        </w:tc>
        <w:tc>
          <w:tcPr>
            <w:tcW w:w="3876" w:type="pct"/>
            <w:gridSpan w:val="15"/>
            <w:shd w:val="clear" w:color="auto" w:fill="auto"/>
          </w:tcPr>
          <w:p w:rsidR="00D7588C" w:rsidRDefault="00F66E3B" w:rsidP="00AB1D63">
            <w:pPr>
              <w:jc w:val="both"/>
            </w:pPr>
            <w:r>
              <w:t>Compra. Reparación</w:t>
            </w:r>
            <w:r w:rsidR="00D7588C">
              <w:t>, rehabilitación y mantenimiento del armamento.</w:t>
            </w:r>
          </w:p>
          <w:p w:rsidR="002B6AC4" w:rsidRDefault="002B6AC4" w:rsidP="00AB1D63">
            <w:pPr>
              <w:jc w:val="both"/>
            </w:pPr>
            <w:r>
              <w:t>Generar una base de datos con las condiciones en que se encuentra cada una de las armas, piezas a sustituir y reparaciones en caso de ser necesario.</w:t>
            </w:r>
          </w:p>
        </w:tc>
      </w:tr>
      <w:tr w:rsidR="00A74FAF" w:rsidTr="00750292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A74FAF" w:rsidRPr="009F3D1F" w:rsidRDefault="00A74FAF" w:rsidP="00AB1D63">
            <w:pPr>
              <w:rPr>
                <w:sz w:val="20"/>
                <w:szCs w:val="20"/>
              </w:rPr>
            </w:pPr>
            <w:r w:rsidRPr="009F3D1F">
              <w:rPr>
                <w:sz w:val="20"/>
                <w:szCs w:val="20"/>
              </w:rPr>
              <w:t xml:space="preserve">Indicador de Resultados vinculado al PMD según Línea de Acción </w:t>
            </w:r>
          </w:p>
        </w:tc>
        <w:tc>
          <w:tcPr>
            <w:tcW w:w="3876" w:type="pct"/>
            <w:gridSpan w:val="15"/>
            <w:shd w:val="clear" w:color="auto" w:fill="FABF8F" w:themeFill="accent6" w:themeFillTint="99"/>
          </w:tcPr>
          <w:p w:rsidR="00A74FAF" w:rsidRDefault="00E92FBE" w:rsidP="00AB1D63">
            <w:pPr>
              <w:jc w:val="both"/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de porcentaje de acciones efectivas y oportunas.</w:t>
            </w:r>
          </w:p>
        </w:tc>
      </w:tr>
      <w:tr w:rsidR="00A74FAF" w:rsidTr="00750292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A74FAF" w:rsidRDefault="00A74FAF" w:rsidP="00AB1D63">
            <w:r>
              <w:t xml:space="preserve">Indicador vinculado a los Objetivos de Desarrollo Sostenible </w:t>
            </w:r>
          </w:p>
        </w:tc>
        <w:tc>
          <w:tcPr>
            <w:tcW w:w="3876" w:type="pct"/>
            <w:gridSpan w:val="15"/>
            <w:shd w:val="clear" w:color="auto" w:fill="FABF8F" w:themeFill="accent6" w:themeFillTint="99"/>
          </w:tcPr>
          <w:p w:rsidR="00A74FAF" w:rsidRDefault="00E92FBE" w:rsidP="00AB1D63">
            <w:pPr>
              <w:jc w:val="both"/>
            </w:pPr>
            <w:r>
              <w:t>16</w:t>
            </w:r>
          </w:p>
        </w:tc>
      </w:tr>
      <w:tr w:rsidR="00A74FAF" w:rsidTr="00750292">
        <w:tc>
          <w:tcPr>
            <w:tcW w:w="1124" w:type="pct"/>
            <w:vMerge w:val="restart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Alcance</w:t>
            </w:r>
          </w:p>
        </w:tc>
        <w:tc>
          <w:tcPr>
            <w:tcW w:w="960" w:type="pct"/>
            <w:gridSpan w:val="3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Corto Plazo</w:t>
            </w:r>
          </w:p>
        </w:tc>
        <w:tc>
          <w:tcPr>
            <w:tcW w:w="1712" w:type="pct"/>
            <w:gridSpan w:val="7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Mediano Plazo</w:t>
            </w:r>
          </w:p>
        </w:tc>
        <w:tc>
          <w:tcPr>
            <w:tcW w:w="1204" w:type="pct"/>
            <w:gridSpan w:val="5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Largo Plazo</w:t>
            </w:r>
          </w:p>
        </w:tc>
      </w:tr>
      <w:tr w:rsidR="00A74FAF" w:rsidTr="00750292">
        <w:tc>
          <w:tcPr>
            <w:tcW w:w="1124" w:type="pct"/>
            <w:vMerge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</w:p>
        </w:tc>
        <w:tc>
          <w:tcPr>
            <w:tcW w:w="960" w:type="pct"/>
            <w:gridSpan w:val="3"/>
            <w:shd w:val="clear" w:color="auto" w:fill="auto"/>
          </w:tcPr>
          <w:p w:rsidR="00A74FAF" w:rsidRDefault="00F41B72" w:rsidP="00AB1D63">
            <w:r>
              <w:t>50%</w:t>
            </w:r>
          </w:p>
        </w:tc>
        <w:tc>
          <w:tcPr>
            <w:tcW w:w="1712" w:type="pct"/>
            <w:gridSpan w:val="7"/>
            <w:shd w:val="clear" w:color="auto" w:fill="auto"/>
          </w:tcPr>
          <w:p w:rsidR="00A74FAF" w:rsidRDefault="00F41B72" w:rsidP="00AB1D63">
            <w:r>
              <w:t>100</w:t>
            </w:r>
            <w:r w:rsidR="009213DB">
              <w:t>%</w:t>
            </w:r>
          </w:p>
        </w:tc>
        <w:tc>
          <w:tcPr>
            <w:tcW w:w="1204" w:type="pct"/>
            <w:gridSpan w:val="5"/>
            <w:shd w:val="clear" w:color="auto" w:fill="auto"/>
          </w:tcPr>
          <w:p w:rsidR="00A74FAF" w:rsidRDefault="00A74FAF" w:rsidP="00AB1D63"/>
        </w:tc>
      </w:tr>
      <w:tr w:rsidR="00750292" w:rsidTr="00750292">
        <w:tc>
          <w:tcPr>
            <w:tcW w:w="1124" w:type="pct"/>
            <w:shd w:val="clear" w:color="auto" w:fill="D9D9D9" w:themeFill="background1" w:themeFillShade="D9"/>
          </w:tcPr>
          <w:p w:rsidR="00750292" w:rsidRDefault="00750292" w:rsidP="00AB1D63">
            <w:r>
              <w:t>C) Valor Inicial de la Meta</w:t>
            </w:r>
          </w:p>
        </w:tc>
        <w:tc>
          <w:tcPr>
            <w:tcW w:w="1471" w:type="pct"/>
            <w:gridSpan w:val="6"/>
            <w:shd w:val="clear" w:color="auto" w:fill="D9D9D9" w:themeFill="background1" w:themeFillShade="D9"/>
          </w:tcPr>
          <w:p w:rsidR="00750292" w:rsidRDefault="00750292" w:rsidP="00AB1D63">
            <w:pPr>
              <w:jc w:val="center"/>
            </w:pPr>
            <w:r>
              <w:t>Valor final de la Meta</w:t>
            </w:r>
          </w:p>
        </w:tc>
        <w:tc>
          <w:tcPr>
            <w:tcW w:w="1305" w:type="pct"/>
            <w:gridSpan w:val="5"/>
            <w:shd w:val="clear" w:color="auto" w:fill="D9D9D9" w:themeFill="background1" w:themeFillShade="D9"/>
          </w:tcPr>
          <w:p w:rsidR="00750292" w:rsidRDefault="00750292" w:rsidP="007A72C9">
            <w:pPr>
              <w:jc w:val="center"/>
            </w:pPr>
            <w:r>
              <w:t>Nombre del indicador</w:t>
            </w:r>
          </w:p>
        </w:tc>
        <w:tc>
          <w:tcPr>
            <w:tcW w:w="1100" w:type="pct"/>
            <w:gridSpan w:val="4"/>
            <w:shd w:val="clear" w:color="auto" w:fill="D9D9D9" w:themeFill="background1" w:themeFillShade="D9"/>
          </w:tcPr>
          <w:p w:rsidR="00750292" w:rsidRDefault="00750292" w:rsidP="007A72C9">
            <w:pPr>
              <w:jc w:val="center"/>
            </w:pPr>
            <w:r>
              <w:t>Formula del indicador</w:t>
            </w:r>
          </w:p>
        </w:tc>
      </w:tr>
      <w:tr w:rsidR="00750292" w:rsidTr="00750292">
        <w:tc>
          <w:tcPr>
            <w:tcW w:w="1124" w:type="pct"/>
            <w:shd w:val="clear" w:color="auto" w:fill="auto"/>
          </w:tcPr>
          <w:p w:rsidR="00750292" w:rsidRDefault="00C832C2" w:rsidP="00D20D47">
            <w:pPr>
              <w:jc w:val="center"/>
            </w:pPr>
            <w:r>
              <w:t>0 Servicios de mantenimiento</w:t>
            </w:r>
          </w:p>
          <w:p w:rsidR="00C832C2" w:rsidRDefault="00C832C2" w:rsidP="00D20D47">
            <w:pPr>
              <w:jc w:val="center"/>
            </w:pPr>
            <w:r>
              <w:t xml:space="preserve">0 Servicios de </w:t>
            </w:r>
            <w:r w:rsidR="004E7E39">
              <w:t>rehabilitación</w:t>
            </w:r>
          </w:p>
          <w:p w:rsidR="00C832C2" w:rsidRDefault="00C832C2" w:rsidP="00D20D47">
            <w:pPr>
              <w:jc w:val="center"/>
            </w:pPr>
            <w:r>
              <w:t>0 Renovación de Armamento</w:t>
            </w:r>
          </w:p>
        </w:tc>
        <w:tc>
          <w:tcPr>
            <w:tcW w:w="1471" w:type="pct"/>
            <w:gridSpan w:val="6"/>
            <w:shd w:val="clear" w:color="auto" w:fill="auto"/>
          </w:tcPr>
          <w:p w:rsidR="00C832C2" w:rsidRDefault="00C832C2" w:rsidP="00C832C2">
            <w:pPr>
              <w:jc w:val="center"/>
            </w:pPr>
            <w:r>
              <w:t>___ Servicios de mantenimiento</w:t>
            </w:r>
          </w:p>
          <w:p w:rsidR="00C832C2" w:rsidRDefault="00C832C2" w:rsidP="00C832C2">
            <w:pPr>
              <w:jc w:val="center"/>
            </w:pPr>
            <w:r>
              <w:t xml:space="preserve">___  Servicios de </w:t>
            </w:r>
            <w:r w:rsidR="004E7E39">
              <w:t>rehabilitación</w:t>
            </w:r>
          </w:p>
          <w:p w:rsidR="00750292" w:rsidRDefault="00C832C2" w:rsidP="00C832C2">
            <w:pPr>
              <w:jc w:val="center"/>
            </w:pPr>
            <w:r>
              <w:t>___  Renovación de Armamento</w:t>
            </w:r>
          </w:p>
        </w:tc>
        <w:tc>
          <w:tcPr>
            <w:tcW w:w="1305" w:type="pct"/>
            <w:gridSpan w:val="5"/>
            <w:shd w:val="clear" w:color="auto" w:fill="auto"/>
          </w:tcPr>
          <w:p w:rsidR="00750292" w:rsidRDefault="00EE460C" w:rsidP="004E7E39">
            <w:pPr>
              <w:jc w:val="both"/>
            </w:pPr>
            <w:r w:rsidRPr="00EE460C">
              <w:t>Porcentaje de avance en la realización de servicios de mantenimiento, rehabilitación y  renovación de armamento</w:t>
            </w:r>
            <w:r>
              <w:t>.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50292" w:rsidRDefault="00750292" w:rsidP="00750292">
            <w:pPr>
              <w:jc w:val="both"/>
            </w:pPr>
          </w:p>
        </w:tc>
      </w:tr>
      <w:tr w:rsidR="00A74FAF" w:rsidTr="00750292">
        <w:tc>
          <w:tcPr>
            <w:tcW w:w="2595" w:type="pct"/>
            <w:gridSpan w:val="7"/>
            <w:shd w:val="clear" w:color="auto" w:fill="D9D9D9" w:themeFill="background1" w:themeFillShade="D9"/>
          </w:tcPr>
          <w:p w:rsidR="00A74FAF" w:rsidRDefault="00A74FAF" w:rsidP="00AB1D63">
            <w:r>
              <w:t>Clave de presupuesto determinada en Finanzas para la etiquetación de recursos</w:t>
            </w:r>
          </w:p>
        </w:tc>
        <w:tc>
          <w:tcPr>
            <w:tcW w:w="2405" w:type="pct"/>
            <w:gridSpan w:val="9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9F3D1F">
        <w:trPr>
          <w:trHeight w:val="282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:rsidR="00A74FAF" w:rsidRDefault="00A74FAF" w:rsidP="00AB1D63">
            <w:pPr>
              <w:jc w:val="center"/>
            </w:pPr>
            <w:r>
              <w:t>Cronograma Anual  de Actividades</w:t>
            </w:r>
          </w:p>
        </w:tc>
      </w:tr>
      <w:tr w:rsidR="00A74FAF" w:rsidTr="00AB1D6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A74FAF" w:rsidRDefault="00A74FAF" w:rsidP="00AB1D6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DIC</w:t>
            </w:r>
          </w:p>
        </w:tc>
      </w:tr>
      <w:tr w:rsidR="00D20D47" w:rsidTr="00AB1D63">
        <w:trPr>
          <w:trHeight w:val="312"/>
        </w:trPr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both"/>
              <w:rPr>
                <w:sz w:val="20"/>
              </w:rPr>
            </w:pPr>
            <w:r>
              <w:rPr>
                <w:sz w:val="20"/>
              </w:rPr>
              <w:t>Revisión de Armas en los Sectores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06699A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</w:tr>
      <w:tr w:rsidR="00D20D47" w:rsidTr="00AB1D63">
        <w:trPr>
          <w:trHeight w:val="288"/>
        </w:trPr>
        <w:tc>
          <w:tcPr>
            <w:tcW w:w="0" w:type="auto"/>
            <w:shd w:val="clear" w:color="auto" w:fill="auto"/>
          </w:tcPr>
          <w:p w:rsidR="00F41B72" w:rsidRPr="00145F76" w:rsidRDefault="0006699A" w:rsidP="00F41B72">
            <w:pPr>
              <w:jc w:val="both"/>
              <w:rPr>
                <w:sz w:val="20"/>
              </w:rPr>
            </w:pPr>
            <w:r>
              <w:rPr>
                <w:sz w:val="20"/>
              </w:rPr>
              <w:t>Actualizar</w:t>
            </w:r>
            <w:r w:rsidR="00F41B72">
              <w:rPr>
                <w:sz w:val="20"/>
              </w:rPr>
              <w:t xml:space="preserve"> la base de Datos </w:t>
            </w:r>
            <w:r w:rsidR="00D7588C">
              <w:rPr>
                <w:sz w:val="20"/>
              </w:rPr>
              <w:t>y clasificar necesidades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</w:tr>
      <w:tr w:rsidR="00D20D47" w:rsidTr="00AB1D63">
        <w:trPr>
          <w:trHeight w:val="263"/>
        </w:trPr>
        <w:tc>
          <w:tcPr>
            <w:tcW w:w="0" w:type="auto"/>
            <w:shd w:val="clear" w:color="auto" w:fill="auto"/>
          </w:tcPr>
          <w:p w:rsidR="00F41B72" w:rsidRPr="00145F76" w:rsidRDefault="00D7588C" w:rsidP="00F41B7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Reparaciones, hechura de piezas que puedan ser sustituibles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66E3B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66E3B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</w:tr>
      <w:tr w:rsidR="00D20D47" w:rsidTr="00AB1D63">
        <w:trPr>
          <w:trHeight w:val="262"/>
        </w:trPr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both"/>
              <w:rPr>
                <w:sz w:val="20"/>
              </w:rPr>
            </w:pPr>
            <w:r>
              <w:rPr>
                <w:sz w:val="20"/>
              </w:rPr>
              <w:t>Mantenimiento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20D47" w:rsidTr="00AB1D63">
        <w:trPr>
          <w:trHeight w:val="283"/>
        </w:trPr>
        <w:tc>
          <w:tcPr>
            <w:tcW w:w="0" w:type="auto"/>
            <w:shd w:val="clear" w:color="auto" w:fill="auto"/>
          </w:tcPr>
          <w:p w:rsidR="00F41B72" w:rsidRPr="00145F76" w:rsidRDefault="006A27D8" w:rsidP="00F41B72">
            <w:pPr>
              <w:jc w:val="both"/>
              <w:rPr>
                <w:sz w:val="20"/>
              </w:rPr>
            </w:pPr>
            <w:r>
              <w:rPr>
                <w:sz w:val="20"/>
              </w:rPr>
              <w:t>Adquisición de armas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6A27D8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6A27D8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6A27D8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6A27D8" w:rsidP="00F41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1B72" w:rsidRPr="00145F76" w:rsidRDefault="00F41B72" w:rsidP="00F41B72">
            <w:pPr>
              <w:jc w:val="center"/>
              <w:rPr>
                <w:sz w:val="20"/>
              </w:rPr>
            </w:pPr>
          </w:p>
        </w:tc>
      </w:tr>
    </w:tbl>
    <w:p w:rsidR="00A74FAF" w:rsidRDefault="00A74FAF" w:rsidP="00A74FAF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50292" w:rsidRDefault="00750292">
      <w:pPr>
        <w:rPr>
          <w:b/>
          <w:sz w:val="48"/>
        </w:rPr>
      </w:pPr>
      <w:r>
        <w:rPr>
          <w:b/>
          <w:sz w:val="48"/>
        </w:rPr>
        <w:br w:type="page"/>
      </w:r>
    </w:p>
    <w:p w:rsidR="00125DC7" w:rsidRPr="0068316A" w:rsidRDefault="00125DC7" w:rsidP="00125DC7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lastRenderedPageBreak/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25DC7" w:rsidTr="00F03F5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5DC7" w:rsidRDefault="00125DC7" w:rsidP="00F03F5E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25DC7" w:rsidRPr="00603845" w:rsidRDefault="00002285" w:rsidP="00F03F5E">
            <w:pPr>
              <w:jc w:val="both"/>
            </w:pPr>
            <w:r w:rsidRPr="00002285">
              <w:rPr>
                <w:rFonts w:ascii="Arial" w:hAnsi="Arial" w:cs="Arial"/>
                <w:color w:val="000000"/>
                <w:sz w:val="20"/>
                <w:szCs w:val="20"/>
              </w:rPr>
              <w:t>Programa de Construcción y modernización de la unidad de análisis e inteligencia de la P.P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5DC7" w:rsidRDefault="00CE56B1" w:rsidP="00F03F5E">
            <w:r>
              <w:t>5</w:t>
            </w:r>
          </w:p>
        </w:tc>
      </w:tr>
      <w:tr w:rsidR="00125DC7" w:rsidTr="00F03F5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5DC7" w:rsidRDefault="00125DC7" w:rsidP="00F03F5E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25DC7" w:rsidRDefault="00125DC7" w:rsidP="00F03F5E">
            <w:r w:rsidRPr="00205637">
              <w:t>Dirección Técnica y de Planeación Estratégica</w:t>
            </w:r>
          </w:p>
          <w:p w:rsidR="00125DC7" w:rsidRDefault="00125DC7" w:rsidP="00F03F5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5DC7" w:rsidRDefault="00CE56B1" w:rsidP="00F03F5E">
            <w:r>
              <w:t>5.7</w:t>
            </w:r>
          </w:p>
        </w:tc>
      </w:tr>
      <w:tr w:rsidR="00125DC7" w:rsidTr="00F03F5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5DC7" w:rsidRDefault="00125DC7" w:rsidP="00F03F5E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25DC7" w:rsidRDefault="00562E10" w:rsidP="00562E10">
            <w:pPr>
              <w:jc w:val="both"/>
            </w:pPr>
            <w:r>
              <w:t>No se cuenta con un espacio adecuado y suficiente para albergar el área de inteligencia policial, ya que aquí es donde nos hacemos cargo</w:t>
            </w:r>
            <w:r w:rsidR="007E57AF">
              <w:t xml:space="preserve"> de</w:t>
            </w:r>
            <w:r>
              <w:t xml:space="preserve">l </w:t>
            </w:r>
            <w:r w:rsidR="007E57AF">
              <w:t xml:space="preserve"> análisis delincuencial del municipio</w:t>
            </w:r>
            <w:r>
              <w:t xml:space="preserve">. La ausencia de </w:t>
            </w:r>
            <w:r w:rsidR="007E57AF">
              <w:t>equipos</w:t>
            </w:r>
            <w:r>
              <w:t xml:space="preserve"> moderno</w:t>
            </w:r>
            <w:r w:rsidR="007E57AF">
              <w:t xml:space="preserve"> con mayor capacidad</w:t>
            </w:r>
            <w:r>
              <w:t xml:space="preserve"> de procesamiento, que se adapte</w:t>
            </w:r>
            <w:r w:rsidR="00D7588C">
              <w:t xml:space="preserve"> a las necesidades de programas</w:t>
            </w:r>
            <w:r>
              <w:t xml:space="preserve"> que inevitablemente entrarán en funciones</w:t>
            </w:r>
            <w:r w:rsidR="00D7588C">
              <w:t xml:space="preserve"> como el</w:t>
            </w:r>
            <w:r>
              <w:t>:</w:t>
            </w:r>
            <w:r w:rsidR="00D7588C">
              <w:t xml:space="preserve"> 911 y C-5</w:t>
            </w:r>
            <w:r>
              <w:t>; a</w:t>
            </w:r>
            <w:r w:rsidR="00662A87">
              <w:t>unado a</w:t>
            </w:r>
            <w:r>
              <w:t xml:space="preserve"> todo lo anterior</w:t>
            </w:r>
            <w:r w:rsidR="00662A87">
              <w:t xml:space="preserve"> no se cuenta con el</w:t>
            </w:r>
            <w:r>
              <w:t xml:space="preserve"> personal con</w:t>
            </w:r>
            <w:r w:rsidR="00662A87">
              <w:t xml:space="preserve"> perfil</w:t>
            </w:r>
            <w:r>
              <w:t>es</w:t>
            </w:r>
            <w:r w:rsidR="00662A87">
              <w:t xml:space="preserve"> necesario</w:t>
            </w:r>
            <w:r>
              <w:t>s</w:t>
            </w:r>
            <w:r w:rsidR="00662A87">
              <w:t xml:space="preserve"> para hacer un análisis real  de los datos que se procesan.</w:t>
            </w:r>
            <w:r w:rsidR="00F03F5E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5DC7" w:rsidRDefault="00125DC7" w:rsidP="00F03F5E"/>
        </w:tc>
      </w:tr>
      <w:tr w:rsidR="00125DC7" w:rsidTr="00F03F5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5DC7" w:rsidRDefault="00125DC7" w:rsidP="00F03F5E"/>
        </w:tc>
        <w:tc>
          <w:tcPr>
            <w:tcW w:w="6662" w:type="dxa"/>
            <w:gridSpan w:val="6"/>
            <w:vMerge/>
          </w:tcPr>
          <w:p w:rsidR="00125DC7" w:rsidRDefault="00125DC7" w:rsidP="00F03F5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5DC7" w:rsidRDefault="00125DC7" w:rsidP="00F03F5E"/>
        </w:tc>
      </w:tr>
      <w:tr w:rsidR="00125DC7" w:rsidTr="00F03F5E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5DC7" w:rsidRDefault="00125DC7" w:rsidP="00F03F5E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125DC7" w:rsidRDefault="007E57AF" w:rsidP="00F03F5E">
            <w:pPr>
              <w:jc w:val="both"/>
            </w:pPr>
            <w:r>
              <w:t>Todo el municipio de San Pedro Tlaquepaque</w:t>
            </w:r>
            <w:r w:rsidR="00125DC7">
              <w:t>.</w:t>
            </w:r>
          </w:p>
          <w:p w:rsidR="00125DC7" w:rsidRDefault="00125DC7" w:rsidP="00F03F5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5DC7" w:rsidRDefault="00125DC7" w:rsidP="00F03F5E"/>
        </w:tc>
      </w:tr>
      <w:tr w:rsidR="00125DC7" w:rsidTr="00F03F5E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5DC7" w:rsidRDefault="00125DC7" w:rsidP="00F03F5E"/>
        </w:tc>
        <w:tc>
          <w:tcPr>
            <w:tcW w:w="6662" w:type="dxa"/>
            <w:gridSpan w:val="6"/>
            <w:vMerge/>
          </w:tcPr>
          <w:p w:rsidR="00125DC7" w:rsidRDefault="00125DC7" w:rsidP="00F03F5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5DC7" w:rsidRDefault="00125DC7" w:rsidP="00F03F5E"/>
        </w:tc>
      </w:tr>
      <w:tr w:rsidR="00125DC7" w:rsidTr="00F03F5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5DC7" w:rsidRDefault="00125DC7" w:rsidP="00F03F5E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25DC7" w:rsidRDefault="00125DC7" w:rsidP="00F03F5E">
            <w:pPr>
              <w:jc w:val="both"/>
            </w:pPr>
            <w:r>
              <w:t>María de la Luz Duarte Avalos</w:t>
            </w:r>
          </w:p>
          <w:p w:rsidR="00662A87" w:rsidRPr="00205637" w:rsidRDefault="00662A87" w:rsidP="00662A87">
            <w:r w:rsidRPr="00205637">
              <w:t>Tel: 33-45-59-25</w:t>
            </w:r>
          </w:p>
          <w:p w:rsidR="00662A87" w:rsidRDefault="00662A87" w:rsidP="00662A87">
            <w:pPr>
              <w:jc w:val="both"/>
            </w:pPr>
            <w:r w:rsidRPr="00205637">
              <w:t xml:space="preserve">Correo Electrónico : </w:t>
            </w:r>
            <w:hyperlink r:id="rId9" w:history="1">
              <w:r w:rsidRPr="009D0FC4">
                <w:rPr>
                  <w:rStyle w:val="Hipervnculo"/>
                </w:rPr>
                <w:t>maria.duarte@Tlaquepaque.gob.mx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5DC7" w:rsidRDefault="00125DC7" w:rsidP="00F03F5E"/>
        </w:tc>
      </w:tr>
      <w:tr w:rsidR="00125DC7" w:rsidTr="000607D5">
        <w:trPr>
          <w:trHeight w:val="344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5DC7" w:rsidRDefault="00125DC7" w:rsidP="00F03F5E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5DC7" w:rsidRDefault="00002285" w:rsidP="000607D5">
            <w:pPr>
              <w:jc w:val="both"/>
            </w:pPr>
            <w:r w:rsidRPr="00002285">
              <w:t>Mejor identificación de zonas criminógenas, coordinación de operativos de reacción y adecuación de las estrategias en materia de seguridad a través de la Unidad de Intelige</w:t>
            </w:r>
            <w:r>
              <w:t>ncia Delincuencial modernizada.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5DC7" w:rsidRDefault="00125DC7" w:rsidP="00F03F5E"/>
        </w:tc>
      </w:tr>
      <w:tr w:rsidR="00125DC7" w:rsidTr="00F03F5E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5DC7" w:rsidRDefault="00125DC7" w:rsidP="00F03F5E"/>
        </w:tc>
        <w:tc>
          <w:tcPr>
            <w:tcW w:w="6662" w:type="dxa"/>
            <w:gridSpan w:val="6"/>
            <w:vMerge/>
          </w:tcPr>
          <w:p w:rsidR="00125DC7" w:rsidRDefault="00125DC7" w:rsidP="00F03F5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5DC7" w:rsidRDefault="00125DC7" w:rsidP="00F03F5E"/>
        </w:tc>
      </w:tr>
      <w:tr w:rsidR="00125DC7" w:rsidTr="00F03F5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5DC7" w:rsidRDefault="00125DC7" w:rsidP="00F03F5E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125DC7" w:rsidRDefault="00F33A72" w:rsidP="00F03F5E">
            <w:pPr>
              <w:jc w:val="both"/>
            </w:pPr>
            <w:r>
              <w:t>De manera directa a los comandantes de la corporación, así como a la instancias gubernamentales que  requieren de esta información para su trabajo diario. Indirectamente a todo</w:t>
            </w:r>
          </w:p>
        </w:tc>
      </w:tr>
      <w:tr w:rsidR="00125DC7" w:rsidTr="00F03F5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Fecha de Cierre</w:t>
            </w:r>
          </w:p>
        </w:tc>
      </w:tr>
      <w:tr w:rsidR="00125DC7" w:rsidTr="00F03F5E">
        <w:tc>
          <w:tcPr>
            <w:tcW w:w="1092" w:type="dxa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25DC7" w:rsidRDefault="00125DC7" w:rsidP="00F03F5E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25DC7" w:rsidRDefault="00125DC7" w:rsidP="00F03F5E">
            <w:pPr>
              <w:jc w:val="center"/>
            </w:pPr>
            <w:r>
              <w:t>31 de Diciembre del 2017</w:t>
            </w:r>
          </w:p>
        </w:tc>
      </w:tr>
      <w:tr w:rsidR="00125DC7" w:rsidTr="00F03F5E">
        <w:tc>
          <w:tcPr>
            <w:tcW w:w="1092" w:type="dxa"/>
          </w:tcPr>
          <w:p w:rsidR="00125DC7" w:rsidRDefault="00125DC7" w:rsidP="00F03F5E">
            <w:pPr>
              <w:jc w:val="center"/>
            </w:pPr>
          </w:p>
        </w:tc>
        <w:tc>
          <w:tcPr>
            <w:tcW w:w="1060" w:type="dxa"/>
          </w:tcPr>
          <w:p w:rsidR="00125DC7" w:rsidRDefault="00125DC7" w:rsidP="00F03F5E">
            <w:pPr>
              <w:jc w:val="center"/>
            </w:pPr>
          </w:p>
        </w:tc>
        <w:tc>
          <w:tcPr>
            <w:tcW w:w="915" w:type="dxa"/>
          </w:tcPr>
          <w:p w:rsidR="00125DC7" w:rsidRDefault="00125DC7" w:rsidP="00F03F5E">
            <w:pPr>
              <w:jc w:val="center"/>
            </w:pPr>
          </w:p>
        </w:tc>
        <w:tc>
          <w:tcPr>
            <w:tcW w:w="1532" w:type="dxa"/>
            <w:gridSpan w:val="2"/>
          </w:tcPr>
          <w:p w:rsidR="00125DC7" w:rsidRDefault="00125DC7" w:rsidP="00F03F5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25DC7" w:rsidRDefault="00125DC7" w:rsidP="00F03F5E">
            <w:pPr>
              <w:jc w:val="center"/>
            </w:pPr>
          </w:p>
        </w:tc>
        <w:tc>
          <w:tcPr>
            <w:tcW w:w="1417" w:type="dxa"/>
          </w:tcPr>
          <w:p w:rsidR="00125DC7" w:rsidRDefault="00125DC7" w:rsidP="00F03F5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x</w:t>
            </w:r>
          </w:p>
        </w:tc>
      </w:tr>
      <w:tr w:rsidR="00125DC7" w:rsidTr="00F03F5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25DC7" w:rsidRDefault="00125DC7" w:rsidP="00F03F5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25DC7" w:rsidRDefault="00125DC7" w:rsidP="00F03F5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25DC7" w:rsidRDefault="00125DC7" w:rsidP="00F03F5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25DC7" w:rsidRDefault="00125DC7" w:rsidP="00F03F5E"/>
        </w:tc>
        <w:tc>
          <w:tcPr>
            <w:tcW w:w="898" w:type="dxa"/>
            <w:shd w:val="clear" w:color="auto" w:fill="FABF8F" w:themeFill="accent6" w:themeFillTint="99"/>
          </w:tcPr>
          <w:p w:rsidR="00125DC7" w:rsidRDefault="00125DC7" w:rsidP="00F03F5E"/>
        </w:tc>
        <w:tc>
          <w:tcPr>
            <w:tcW w:w="825" w:type="dxa"/>
            <w:shd w:val="clear" w:color="auto" w:fill="FABF8F" w:themeFill="accent6" w:themeFillTint="99"/>
          </w:tcPr>
          <w:p w:rsidR="00125DC7" w:rsidRDefault="00125DC7" w:rsidP="00F03F5E"/>
        </w:tc>
        <w:tc>
          <w:tcPr>
            <w:tcW w:w="946" w:type="dxa"/>
            <w:shd w:val="clear" w:color="auto" w:fill="FABF8F" w:themeFill="accent6" w:themeFillTint="99"/>
          </w:tcPr>
          <w:p w:rsidR="00125DC7" w:rsidRDefault="00125DC7" w:rsidP="00F03F5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25DC7" w:rsidRDefault="00125DC7" w:rsidP="00F03F5E"/>
        </w:tc>
        <w:tc>
          <w:tcPr>
            <w:tcW w:w="874" w:type="dxa"/>
            <w:shd w:val="clear" w:color="auto" w:fill="FABF8F" w:themeFill="accent6" w:themeFillTint="99"/>
          </w:tcPr>
          <w:p w:rsidR="00125DC7" w:rsidRDefault="00125DC7" w:rsidP="00F03F5E"/>
        </w:tc>
      </w:tr>
    </w:tbl>
    <w:p w:rsidR="00125DC7" w:rsidRDefault="00125DC7" w:rsidP="00125DC7"/>
    <w:p w:rsidR="00125DC7" w:rsidRDefault="00125DC7" w:rsidP="00125DC7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125DC7" w:rsidRDefault="00125DC7" w:rsidP="00125DC7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704"/>
        <w:gridCol w:w="879"/>
        <w:gridCol w:w="832"/>
        <w:gridCol w:w="1004"/>
        <w:gridCol w:w="895"/>
        <w:gridCol w:w="320"/>
        <w:gridCol w:w="319"/>
        <w:gridCol w:w="874"/>
        <w:gridCol w:w="791"/>
        <w:gridCol w:w="895"/>
        <w:gridCol w:w="822"/>
        <w:gridCol w:w="900"/>
        <w:gridCol w:w="970"/>
        <w:gridCol w:w="801"/>
      </w:tblGrid>
      <w:tr w:rsidR="00125DC7" w:rsidTr="000607D5">
        <w:trPr>
          <w:trHeight w:val="547"/>
        </w:trPr>
        <w:tc>
          <w:tcPr>
            <w:tcW w:w="1060" w:type="pct"/>
            <w:shd w:val="clear" w:color="auto" w:fill="D9D9D9" w:themeFill="background1" w:themeFillShade="D9"/>
          </w:tcPr>
          <w:p w:rsidR="00125DC7" w:rsidRDefault="00125DC7" w:rsidP="00F03F5E">
            <w:r>
              <w:t xml:space="preserve">A)Actividades a realizar para la obtención del producto esperado </w:t>
            </w:r>
          </w:p>
        </w:tc>
        <w:tc>
          <w:tcPr>
            <w:tcW w:w="3940" w:type="pct"/>
            <w:gridSpan w:val="13"/>
            <w:shd w:val="clear" w:color="auto" w:fill="auto"/>
          </w:tcPr>
          <w:p w:rsidR="00125DC7" w:rsidRDefault="00662A87" w:rsidP="00F03F5E">
            <w:pPr>
              <w:jc w:val="both"/>
            </w:pPr>
            <w:r>
              <w:t>Modernizar la Unidad de Inteligencia Delincuencial del municipio</w:t>
            </w:r>
            <w:r w:rsidR="000607D5">
              <w:t>.</w:t>
            </w:r>
          </w:p>
          <w:p w:rsidR="000607D5" w:rsidRDefault="000607D5" w:rsidP="00F03F5E">
            <w:pPr>
              <w:jc w:val="both"/>
            </w:pPr>
            <w:r>
              <w:t>(VALOR INICIAL 50-VALOR FINAL 100)</w:t>
            </w:r>
          </w:p>
        </w:tc>
      </w:tr>
      <w:tr w:rsidR="00125DC7" w:rsidTr="000607D5">
        <w:trPr>
          <w:trHeight w:val="547"/>
        </w:trPr>
        <w:tc>
          <w:tcPr>
            <w:tcW w:w="1060" w:type="pct"/>
            <w:shd w:val="clear" w:color="auto" w:fill="D9D9D9" w:themeFill="background1" w:themeFillShade="D9"/>
          </w:tcPr>
          <w:p w:rsidR="00125DC7" w:rsidRDefault="00125DC7" w:rsidP="00F03F5E">
            <w:r>
              <w:t>B) Principal producto esperado (base para el establecimiento de metas)</w:t>
            </w:r>
          </w:p>
        </w:tc>
        <w:tc>
          <w:tcPr>
            <w:tcW w:w="3940" w:type="pct"/>
            <w:gridSpan w:val="13"/>
            <w:shd w:val="clear" w:color="auto" w:fill="auto"/>
          </w:tcPr>
          <w:p w:rsidR="00125DC7" w:rsidRDefault="00662A87" w:rsidP="00F03F5E">
            <w:pPr>
              <w:jc w:val="both"/>
            </w:pPr>
            <w:r>
              <w:t>Modernización del área, mejor identificación de zonas criminógenas y la adecuación de las estrategias en materia de seguridad que permitan disminuir las conductas delictivas en nuestro municipio</w:t>
            </w:r>
            <w:r w:rsidR="007F6EFC">
              <w:t xml:space="preserve"> a travé</w:t>
            </w:r>
            <w:r w:rsidR="00B57F5F">
              <w:t>s del uso de las tecnologías</w:t>
            </w:r>
            <w:r w:rsidR="007F6EFC">
              <w:t xml:space="preserve"> y de los perfiles adecuados para la conformación de políticas públicas eficaces.</w:t>
            </w:r>
          </w:p>
        </w:tc>
      </w:tr>
      <w:tr w:rsidR="00CE56B1" w:rsidTr="000607D5">
        <w:trPr>
          <w:trHeight w:val="547"/>
        </w:trPr>
        <w:tc>
          <w:tcPr>
            <w:tcW w:w="1060" w:type="pct"/>
            <w:shd w:val="clear" w:color="auto" w:fill="D9D9D9" w:themeFill="background1" w:themeFillShade="D9"/>
          </w:tcPr>
          <w:p w:rsidR="00CE56B1" w:rsidRDefault="00CE56B1" w:rsidP="00F03F5E">
            <w:r>
              <w:t xml:space="preserve">Indicador de Resultados vinculado al PMD según Línea de Acción </w:t>
            </w:r>
          </w:p>
        </w:tc>
        <w:tc>
          <w:tcPr>
            <w:tcW w:w="3940" w:type="pct"/>
            <w:gridSpan w:val="13"/>
            <w:shd w:val="clear" w:color="auto" w:fill="FABF8F" w:themeFill="accent6" w:themeFillTint="99"/>
          </w:tcPr>
          <w:p w:rsidR="00CE56B1" w:rsidRDefault="00CE56B1" w:rsidP="00B75DCD">
            <w:pPr>
              <w:jc w:val="both"/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de porcentaje de acciones efectivas y oportunas.</w:t>
            </w:r>
          </w:p>
        </w:tc>
      </w:tr>
      <w:tr w:rsidR="00CE56B1" w:rsidTr="000607D5">
        <w:trPr>
          <w:trHeight w:val="547"/>
        </w:trPr>
        <w:tc>
          <w:tcPr>
            <w:tcW w:w="1060" w:type="pct"/>
            <w:shd w:val="clear" w:color="auto" w:fill="D9D9D9" w:themeFill="background1" w:themeFillShade="D9"/>
          </w:tcPr>
          <w:p w:rsidR="00CE56B1" w:rsidRDefault="00CE56B1" w:rsidP="00F03F5E">
            <w:r>
              <w:t xml:space="preserve">Indicador vinculado a los Objetivos de Desarrollo Sostenible </w:t>
            </w:r>
          </w:p>
        </w:tc>
        <w:tc>
          <w:tcPr>
            <w:tcW w:w="3940" w:type="pct"/>
            <w:gridSpan w:val="13"/>
            <w:shd w:val="clear" w:color="auto" w:fill="FABF8F" w:themeFill="accent6" w:themeFillTint="99"/>
          </w:tcPr>
          <w:p w:rsidR="00CE56B1" w:rsidRDefault="00CE56B1" w:rsidP="00B75DCD">
            <w:pPr>
              <w:jc w:val="both"/>
            </w:pPr>
            <w:r>
              <w:t>16</w:t>
            </w:r>
          </w:p>
        </w:tc>
      </w:tr>
      <w:tr w:rsidR="00125DC7" w:rsidTr="000607D5">
        <w:tc>
          <w:tcPr>
            <w:tcW w:w="1060" w:type="pct"/>
            <w:vMerge w:val="restart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Alcance</w:t>
            </w:r>
          </w:p>
        </w:tc>
        <w:tc>
          <w:tcPr>
            <w:tcW w:w="1037" w:type="pct"/>
            <w:gridSpan w:val="3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Corto Plazo</w:t>
            </w:r>
          </w:p>
        </w:tc>
        <w:tc>
          <w:tcPr>
            <w:tcW w:w="1568" w:type="pct"/>
            <w:gridSpan w:val="6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Mediano Plazo</w:t>
            </w:r>
          </w:p>
        </w:tc>
        <w:tc>
          <w:tcPr>
            <w:tcW w:w="1336" w:type="pct"/>
            <w:gridSpan w:val="4"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  <w:r>
              <w:t>Largo Plazo</w:t>
            </w:r>
          </w:p>
        </w:tc>
      </w:tr>
      <w:tr w:rsidR="00125DC7" w:rsidTr="000607D5">
        <w:tc>
          <w:tcPr>
            <w:tcW w:w="1060" w:type="pct"/>
            <w:vMerge/>
            <w:shd w:val="clear" w:color="auto" w:fill="D9D9D9" w:themeFill="background1" w:themeFillShade="D9"/>
          </w:tcPr>
          <w:p w:rsidR="00125DC7" w:rsidRDefault="00125DC7" w:rsidP="00F03F5E">
            <w:pPr>
              <w:jc w:val="center"/>
            </w:pPr>
          </w:p>
        </w:tc>
        <w:tc>
          <w:tcPr>
            <w:tcW w:w="1037" w:type="pct"/>
            <w:gridSpan w:val="3"/>
            <w:shd w:val="clear" w:color="auto" w:fill="auto"/>
          </w:tcPr>
          <w:p w:rsidR="00125DC7" w:rsidRDefault="00125DC7" w:rsidP="00F03F5E">
            <w:r>
              <w:t>50%</w:t>
            </w:r>
          </w:p>
        </w:tc>
        <w:tc>
          <w:tcPr>
            <w:tcW w:w="1568" w:type="pct"/>
            <w:gridSpan w:val="6"/>
            <w:shd w:val="clear" w:color="auto" w:fill="auto"/>
          </w:tcPr>
          <w:p w:rsidR="00125DC7" w:rsidRDefault="00125DC7" w:rsidP="00F03F5E">
            <w:r>
              <w:t>100%</w:t>
            </w:r>
          </w:p>
        </w:tc>
        <w:tc>
          <w:tcPr>
            <w:tcW w:w="1336" w:type="pct"/>
            <w:gridSpan w:val="4"/>
            <w:shd w:val="clear" w:color="auto" w:fill="auto"/>
          </w:tcPr>
          <w:p w:rsidR="00125DC7" w:rsidRDefault="00125DC7" w:rsidP="00F03F5E"/>
        </w:tc>
      </w:tr>
      <w:tr w:rsidR="00750292" w:rsidTr="000607D5">
        <w:tc>
          <w:tcPr>
            <w:tcW w:w="1060" w:type="pct"/>
            <w:shd w:val="clear" w:color="auto" w:fill="D9D9D9" w:themeFill="background1" w:themeFillShade="D9"/>
          </w:tcPr>
          <w:p w:rsidR="00750292" w:rsidRDefault="00750292" w:rsidP="00F03F5E">
            <w:r>
              <w:t>C) Valor Inicial de la Meta</w:t>
            </w:r>
          </w:p>
        </w:tc>
        <w:tc>
          <w:tcPr>
            <w:tcW w:w="1502" w:type="pct"/>
            <w:gridSpan w:val="5"/>
            <w:shd w:val="clear" w:color="auto" w:fill="D9D9D9" w:themeFill="background1" w:themeFillShade="D9"/>
          </w:tcPr>
          <w:p w:rsidR="00750292" w:rsidRDefault="00750292" w:rsidP="00F03F5E">
            <w:pPr>
              <w:jc w:val="center"/>
            </w:pPr>
            <w:r>
              <w:t>Valor final de la Meta</w:t>
            </w:r>
          </w:p>
        </w:tc>
        <w:tc>
          <w:tcPr>
            <w:tcW w:w="1417" w:type="pct"/>
            <w:gridSpan w:val="5"/>
            <w:shd w:val="clear" w:color="auto" w:fill="D9D9D9" w:themeFill="background1" w:themeFillShade="D9"/>
          </w:tcPr>
          <w:p w:rsidR="00750292" w:rsidRDefault="00750292" w:rsidP="007A72C9">
            <w:pPr>
              <w:jc w:val="center"/>
            </w:pPr>
            <w:r>
              <w:t>Nombre del indicador</w:t>
            </w:r>
          </w:p>
        </w:tc>
        <w:tc>
          <w:tcPr>
            <w:tcW w:w="1021" w:type="pct"/>
            <w:gridSpan w:val="3"/>
            <w:shd w:val="clear" w:color="auto" w:fill="D9D9D9" w:themeFill="background1" w:themeFillShade="D9"/>
          </w:tcPr>
          <w:p w:rsidR="00750292" w:rsidRDefault="00750292" w:rsidP="007A72C9">
            <w:pPr>
              <w:jc w:val="center"/>
            </w:pPr>
            <w:r>
              <w:t>Formula del indicador</w:t>
            </w:r>
          </w:p>
        </w:tc>
      </w:tr>
      <w:tr w:rsidR="000607D5" w:rsidTr="000607D5">
        <w:tc>
          <w:tcPr>
            <w:tcW w:w="1060" w:type="pct"/>
            <w:shd w:val="clear" w:color="auto" w:fill="auto"/>
          </w:tcPr>
          <w:p w:rsidR="000607D5" w:rsidRDefault="000607D5" w:rsidP="00F03F5E">
            <w:pPr>
              <w:jc w:val="center"/>
            </w:pPr>
            <w:r>
              <w:t>0 Construcción de Espacio</w:t>
            </w:r>
          </w:p>
          <w:p w:rsidR="000607D5" w:rsidRDefault="000607D5" w:rsidP="000607D5">
            <w:pPr>
              <w:jc w:val="center"/>
            </w:pPr>
            <w:r>
              <w:t>0 Equipamiento de Espacio</w:t>
            </w:r>
          </w:p>
        </w:tc>
        <w:tc>
          <w:tcPr>
            <w:tcW w:w="1502" w:type="pct"/>
            <w:gridSpan w:val="5"/>
            <w:shd w:val="clear" w:color="auto" w:fill="auto"/>
          </w:tcPr>
          <w:p w:rsidR="000607D5" w:rsidRDefault="000607D5" w:rsidP="007A72C9">
            <w:pPr>
              <w:jc w:val="center"/>
            </w:pPr>
            <w:r>
              <w:t>1 Construcción de Espacio</w:t>
            </w:r>
          </w:p>
          <w:p w:rsidR="000607D5" w:rsidRDefault="000607D5" w:rsidP="007A72C9">
            <w:pPr>
              <w:jc w:val="center"/>
            </w:pPr>
            <w:r>
              <w:t>1 Equipamiento de Espacio</w:t>
            </w:r>
          </w:p>
        </w:tc>
        <w:tc>
          <w:tcPr>
            <w:tcW w:w="1417" w:type="pct"/>
            <w:gridSpan w:val="5"/>
            <w:shd w:val="clear" w:color="auto" w:fill="auto"/>
          </w:tcPr>
          <w:p w:rsidR="000607D5" w:rsidRDefault="00002285" w:rsidP="000607D5">
            <w:pPr>
              <w:jc w:val="both"/>
            </w:pPr>
            <w:r w:rsidRPr="00002285">
              <w:t>Porcentaje de avance en la construcción y modernización del espacio para el procesamiento de información, generación de estadística, monitoreo  y reacción inmediata de 10x10 metros, iluminado y ventilado con capacidad de 10 personas, con medidas de seguridad a su ingreso mediante huella dactilar y equipado con tecnología de punta para  la unidad de análisis e inteligencia de la P.P</w:t>
            </w:r>
            <w:r>
              <w:t>.</w:t>
            </w:r>
          </w:p>
        </w:tc>
        <w:tc>
          <w:tcPr>
            <w:tcW w:w="1021" w:type="pct"/>
            <w:gridSpan w:val="3"/>
            <w:shd w:val="clear" w:color="auto" w:fill="auto"/>
          </w:tcPr>
          <w:p w:rsidR="000607D5" w:rsidRDefault="000607D5" w:rsidP="00750292">
            <w:pPr>
              <w:jc w:val="both"/>
            </w:pPr>
          </w:p>
        </w:tc>
      </w:tr>
      <w:tr w:rsidR="000607D5" w:rsidTr="000607D5">
        <w:tc>
          <w:tcPr>
            <w:tcW w:w="2562" w:type="pct"/>
            <w:gridSpan w:val="6"/>
            <w:shd w:val="clear" w:color="auto" w:fill="D9D9D9" w:themeFill="background1" w:themeFillShade="D9"/>
          </w:tcPr>
          <w:p w:rsidR="000607D5" w:rsidRDefault="000607D5" w:rsidP="00F03F5E">
            <w:r>
              <w:t>Clave de presupuesto determinada en Finanzas para la etiquetación de recursos</w:t>
            </w:r>
          </w:p>
        </w:tc>
        <w:tc>
          <w:tcPr>
            <w:tcW w:w="2438" w:type="pct"/>
            <w:gridSpan w:val="8"/>
            <w:shd w:val="clear" w:color="auto" w:fill="FABF8F" w:themeFill="accent6" w:themeFillTint="99"/>
          </w:tcPr>
          <w:p w:rsidR="000607D5" w:rsidRDefault="000607D5" w:rsidP="00F03F5E"/>
        </w:tc>
      </w:tr>
      <w:tr w:rsidR="000607D5" w:rsidTr="009F3D1F">
        <w:trPr>
          <w:trHeight w:val="265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0607D5" w:rsidRDefault="000607D5" w:rsidP="00F03F5E">
            <w:pPr>
              <w:jc w:val="center"/>
            </w:pPr>
            <w:r>
              <w:t>Cronograma Anual  de Actividades</w:t>
            </w:r>
          </w:p>
        </w:tc>
      </w:tr>
      <w:tr w:rsidR="000607D5" w:rsidTr="00F03F5E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0607D5" w:rsidRDefault="000607D5" w:rsidP="00F03F5E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607D5" w:rsidRDefault="000607D5" w:rsidP="00F03F5E">
            <w:pPr>
              <w:jc w:val="center"/>
            </w:pPr>
            <w:r>
              <w:t>DIC</w:t>
            </w:r>
          </w:p>
        </w:tc>
      </w:tr>
      <w:tr w:rsidR="000607D5" w:rsidTr="00F03F5E">
        <w:trPr>
          <w:trHeight w:val="312"/>
        </w:trPr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Construcción de la segunda planta para albergar la UDAI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</w:tr>
      <w:tr w:rsidR="000607D5" w:rsidTr="00F03F5E">
        <w:trPr>
          <w:trHeight w:val="288"/>
        </w:trPr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both"/>
              <w:rPr>
                <w:sz w:val="20"/>
              </w:rPr>
            </w:pPr>
            <w:r>
              <w:rPr>
                <w:sz w:val="20"/>
              </w:rPr>
              <w:t>Instalación de cableado y servidor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</w:tr>
      <w:tr w:rsidR="000607D5" w:rsidTr="00F03F5E">
        <w:trPr>
          <w:trHeight w:val="263"/>
        </w:trPr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both"/>
              <w:rPr>
                <w:sz w:val="20"/>
              </w:rPr>
            </w:pPr>
            <w:r>
              <w:rPr>
                <w:sz w:val="20"/>
              </w:rPr>
              <w:t>Adquisición e instalación de los equipos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</w:tr>
      <w:tr w:rsidR="000607D5" w:rsidTr="00F03F5E">
        <w:trPr>
          <w:trHeight w:val="281"/>
        </w:trPr>
        <w:tc>
          <w:tcPr>
            <w:tcW w:w="0" w:type="auto"/>
            <w:shd w:val="clear" w:color="auto" w:fill="auto"/>
          </w:tcPr>
          <w:p w:rsidR="000607D5" w:rsidRPr="00145F76" w:rsidRDefault="000607D5" w:rsidP="00F66E3B">
            <w:pPr>
              <w:jc w:val="both"/>
              <w:rPr>
                <w:sz w:val="20"/>
              </w:rPr>
            </w:pPr>
            <w:r>
              <w:rPr>
                <w:sz w:val="20"/>
              </w:rPr>
              <w:t>Contratación y capacitación de personal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66E3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562E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607D5" w:rsidRPr="00145F76" w:rsidRDefault="000607D5" w:rsidP="00F03F5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562E1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07D5" w:rsidRPr="00145F76" w:rsidRDefault="000607D5" w:rsidP="00F03F5E">
            <w:pPr>
              <w:jc w:val="center"/>
              <w:rPr>
                <w:sz w:val="20"/>
              </w:rPr>
            </w:pPr>
          </w:p>
        </w:tc>
      </w:tr>
    </w:tbl>
    <w:p w:rsidR="00125DC7" w:rsidRDefault="00125DC7" w:rsidP="00125DC7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1C56A9" w:rsidRDefault="001C56A9">
      <w:pPr>
        <w:rPr>
          <w:b/>
          <w:sz w:val="48"/>
        </w:rPr>
      </w:pPr>
      <w:r>
        <w:rPr>
          <w:b/>
          <w:sz w:val="48"/>
        </w:rPr>
        <w:br w:type="page"/>
      </w:r>
    </w:p>
    <w:p w:rsidR="009F3D1F" w:rsidRDefault="009F3D1F" w:rsidP="000E2C88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-87630</wp:posOffset>
            </wp:positionV>
            <wp:extent cx="790575" cy="971550"/>
            <wp:effectExtent l="19050" t="0" r="9525" b="0"/>
            <wp:wrapThrough wrapText="bothSides">
              <wp:wrapPolygon edited="0">
                <wp:start x="-520" y="0"/>
                <wp:lineTo x="-520" y="21176"/>
                <wp:lineTo x="21860" y="21176"/>
                <wp:lineTo x="21860" y="0"/>
                <wp:lineTo x="-52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88" w:rsidRPr="00212E94">
        <w:rPr>
          <w:b/>
          <w:sz w:val="48"/>
        </w:rPr>
        <w:t>ANEXO 1</w:t>
      </w:r>
      <w:r w:rsidR="000E2C88">
        <w:rPr>
          <w:b/>
          <w:sz w:val="48"/>
        </w:rPr>
        <w:t xml:space="preserve">: </w:t>
      </w:r>
      <w:r w:rsidR="000E2C88">
        <w:rPr>
          <w:sz w:val="28"/>
        </w:rPr>
        <w:t>DATOS GENERALES</w:t>
      </w:r>
    </w:p>
    <w:p w:rsidR="000E2C88" w:rsidRPr="0068316A" w:rsidRDefault="000E2C88" w:rsidP="000E2C88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0E2C88" w:rsidTr="00D7588C">
        <w:tc>
          <w:tcPr>
            <w:tcW w:w="3652" w:type="dxa"/>
            <w:gridSpan w:val="4"/>
            <w:shd w:val="clear" w:color="auto" w:fill="D9D9D9" w:themeFill="background1" w:themeFillShade="D9"/>
          </w:tcPr>
          <w:p w:rsidR="000E2C88" w:rsidRDefault="000E2C88" w:rsidP="00D7588C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0E2C88" w:rsidRPr="00945A37" w:rsidRDefault="0063301E" w:rsidP="0063301E">
            <w:pPr>
              <w:jc w:val="both"/>
            </w:pPr>
            <w:r w:rsidRPr="0063301E">
              <w:t>Instalación de internet en los sectores y las barandillas de la corporación,</w:t>
            </w:r>
            <w:r>
              <w:t xml:space="preserve"> </w:t>
            </w:r>
            <w:r w:rsidRPr="0063301E">
              <w:t>captura y supervisión del sistema SAID IPH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E2C88" w:rsidRDefault="00CE56B1" w:rsidP="00D7588C">
            <w:r>
              <w:t>5</w:t>
            </w:r>
          </w:p>
        </w:tc>
      </w:tr>
      <w:tr w:rsidR="000E2C88" w:rsidTr="00D7588C">
        <w:tc>
          <w:tcPr>
            <w:tcW w:w="3652" w:type="dxa"/>
            <w:gridSpan w:val="4"/>
            <w:shd w:val="clear" w:color="auto" w:fill="D9D9D9" w:themeFill="background1" w:themeFillShade="D9"/>
          </w:tcPr>
          <w:p w:rsidR="000E2C88" w:rsidRDefault="000E2C88" w:rsidP="00D7588C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0E2C88" w:rsidRDefault="000E2C88" w:rsidP="00D7588C">
            <w:r w:rsidRPr="00205637">
              <w:t>Dirección Técnica y de Planeación Estratégica</w:t>
            </w:r>
            <w:r w:rsidR="004F7294">
              <w:t>.</w:t>
            </w:r>
          </w:p>
          <w:p w:rsidR="000E2C88" w:rsidRDefault="000E2C88" w:rsidP="00D7588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E2C88" w:rsidRDefault="00CE56B1" w:rsidP="00D7588C">
            <w:r>
              <w:t>5.7</w:t>
            </w:r>
          </w:p>
        </w:tc>
      </w:tr>
      <w:tr w:rsidR="000E2C88" w:rsidTr="00D7588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0E2C88" w:rsidRDefault="000E2C88" w:rsidP="00D7588C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0E2C88" w:rsidRDefault="005A3A3A" w:rsidP="005A3A3A">
            <w:pPr>
              <w:jc w:val="both"/>
            </w:pPr>
            <w:r>
              <w:t xml:space="preserve">La falta de internet hace que se tenga que acudir directamente a las barandillas a recabar la información del sistema SAID y en lo que respecta a los IPH, a que se tenga que realizar doble trabajo, pues al momento de llegar el documento al área, se tenga que transcribir todo el informe. </w:t>
            </w:r>
            <w:r w:rsidR="000E2C88">
              <w:t>Esta área es la que se encarga de hacer el análisis delincuencial del municipio</w:t>
            </w:r>
            <w:r w:rsidR="007F6EFC">
              <w:t>, en cuanto a las faltas administrativas y remisiones que se real</w:t>
            </w:r>
            <w:r>
              <w:t xml:space="preserve">izan en las barandillas y </w:t>
            </w:r>
            <w:r w:rsidR="007F6EFC">
              <w:t xml:space="preserve"> sectores de la corporación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E2C88" w:rsidRDefault="000E2C88" w:rsidP="00D7588C"/>
        </w:tc>
      </w:tr>
      <w:tr w:rsidR="000E2C88" w:rsidTr="00D7588C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0E2C88" w:rsidRDefault="000E2C88" w:rsidP="00D7588C"/>
        </w:tc>
        <w:tc>
          <w:tcPr>
            <w:tcW w:w="6662" w:type="dxa"/>
            <w:gridSpan w:val="6"/>
            <w:vMerge/>
          </w:tcPr>
          <w:p w:rsidR="000E2C88" w:rsidRDefault="000E2C88" w:rsidP="00D7588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E2C88" w:rsidRDefault="000E2C88" w:rsidP="00D7588C"/>
        </w:tc>
      </w:tr>
      <w:tr w:rsidR="000E2C88" w:rsidTr="00D7588C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0E2C88" w:rsidRDefault="000E2C88" w:rsidP="00D7588C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0E2C88" w:rsidRDefault="000E2C88" w:rsidP="00D7588C">
            <w:pPr>
              <w:jc w:val="both"/>
            </w:pPr>
            <w:r>
              <w:t>Todo el municipio de San Pedro Tlaquepaque.</w:t>
            </w:r>
          </w:p>
          <w:p w:rsidR="000E2C88" w:rsidRDefault="000E2C88" w:rsidP="00D7588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E2C88" w:rsidRDefault="000E2C88" w:rsidP="00D7588C"/>
        </w:tc>
      </w:tr>
      <w:tr w:rsidR="000E2C88" w:rsidTr="00D7588C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0E2C88" w:rsidRDefault="000E2C88" w:rsidP="00D7588C"/>
        </w:tc>
        <w:tc>
          <w:tcPr>
            <w:tcW w:w="6662" w:type="dxa"/>
            <w:gridSpan w:val="6"/>
            <w:vMerge/>
          </w:tcPr>
          <w:p w:rsidR="000E2C88" w:rsidRDefault="000E2C88" w:rsidP="00D7588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E2C88" w:rsidRDefault="000E2C88" w:rsidP="00D7588C"/>
        </w:tc>
      </w:tr>
      <w:tr w:rsidR="000E2C88" w:rsidTr="00D7588C">
        <w:tc>
          <w:tcPr>
            <w:tcW w:w="3652" w:type="dxa"/>
            <w:gridSpan w:val="4"/>
            <w:shd w:val="clear" w:color="auto" w:fill="D9D9D9" w:themeFill="background1" w:themeFillShade="D9"/>
          </w:tcPr>
          <w:p w:rsidR="000E2C88" w:rsidRDefault="000E2C88" w:rsidP="00D7588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0E2C88" w:rsidRDefault="000E2C88" w:rsidP="00D7588C">
            <w:pPr>
              <w:jc w:val="both"/>
            </w:pPr>
            <w:r>
              <w:t>María de la Luz Duarte Avalos</w:t>
            </w:r>
          </w:p>
          <w:p w:rsidR="000E2C88" w:rsidRPr="00205637" w:rsidRDefault="000E2C88" w:rsidP="00D7588C">
            <w:r w:rsidRPr="00205637">
              <w:t>Tel: 33-45-59-25</w:t>
            </w:r>
          </w:p>
          <w:p w:rsidR="000E2C88" w:rsidRDefault="000E2C88" w:rsidP="00D7588C">
            <w:pPr>
              <w:jc w:val="both"/>
            </w:pPr>
            <w:r w:rsidRPr="00205637">
              <w:t xml:space="preserve">Correo Electrónico : </w:t>
            </w:r>
            <w:hyperlink r:id="rId10" w:history="1">
              <w:r w:rsidRPr="009D0FC4">
                <w:rPr>
                  <w:rStyle w:val="Hipervnculo"/>
                </w:rPr>
                <w:t>maria.duarte@Tlaquepaque.gob.mx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E2C88" w:rsidRDefault="000E2C88" w:rsidP="00D7588C"/>
        </w:tc>
      </w:tr>
      <w:tr w:rsidR="000E2C88" w:rsidTr="004F7294">
        <w:trPr>
          <w:trHeight w:val="22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0E2C88" w:rsidRDefault="000E2C88" w:rsidP="00D7588C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0E2C88" w:rsidRDefault="0063301E" w:rsidP="004F7294">
            <w:pPr>
              <w:jc w:val="both"/>
            </w:pPr>
            <w:r w:rsidRPr="0063301E">
              <w:t>Sistemas de captura de informes y análisis delincuencial de faltas administrativas y remisiones modernizado (sistema SAID y captura de IPHs).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E2C88" w:rsidRDefault="000E2C88" w:rsidP="00D7588C"/>
        </w:tc>
      </w:tr>
      <w:tr w:rsidR="000E2C88" w:rsidTr="00D7588C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0E2C88" w:rsidRDefault="000E2C88" w:rsidP="00D7588C"/>
        </w:tc>
        <w:tc>
          <w:tcPr>
            <w:tcW w:w="6662" w:type="dxa"/>
            <w:gridSpan w:val="6"/>
            <w:vMerge/>
          </w:tcPr>
          <w:p w:rsidR="000E2C88" w:rsidRDefault="000E2C88" w:rsidP="00D7588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E2C88" w:rsidRDefault="000E2C88" w:rsidP="00D7588C"/>
        </w:tc>
      </w:tr>
      <w:tr w:rsidR="000E2C88" w:rsidTr="00D7588C">
        <w:tc>
          <w:tcPr>
            <w:tcW w:w="3652" w:type="dxa"/>
            <w:gridSpan w:val="4"/>
            <w:shd w:val="clear" w:color="auto" w:fill="D9D9D9" w:themeFill="background1" w:themeFillShade="D9"/>
          </w:tcPr>
          <w:p w:rsidR="000E2C88" w:rsidRDefault="000E2C88" w:rsidP="00D7588C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0E2C88" w:rsidRDefault="005A3A3A" w:rsidP="00D7588C">
            <w:pPr>
              <w:jc w:val="both"/>
            </w:pPr>
            <w:r>
              <w:t>Personal de la Comisaría. Fiscalía del Estado.</w:t>
            </w:r>
          </w:p>
        </w:tc>
      </w:tr>
      <w:tr w:rsidR="000E2C88" w:rsidTr="00D7588C">
        <w:tc>
          <w:tcPr>
            <w:tcW w:w="4599" w:type="dxa"/>
            <w:gridSpan w:val="5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Fecha de Cierre</w:t>
            </w:r>
          </w:p>
        </w:tc>
      </w:tr>
      <w:tr w:rsidR="000E2C88" w:rsidTr="00D7588C">
        <w:tc>
          <w:tcPr>
            <w:tcW w:w="1092" w:type="dxa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0E2C88" w:rsidRDefault="000E2C88" w:rsidP="00D7588C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E2C88" w:rsidRDefault="000E2C88" w:rsidP="00D7588C">
            <w:pPr>
              <w:jc w:val="center"/>
            </w:pPr>
            <w:r>
              <w:t>31 de Diciembre del 2017</w:t>
            </w:r>
          </w:p>
        </w:tc>
      </w:tr>
      <w:tr w:rsidR="000E2C88" w:rsidTr="00D7588C">
        <w:tc>
          <w:tcPr>
            <w:tcW w:w="1092" w:type="dxa"/>
          </w:tcPr>
          <w:p w:rsidR="000E2C88" w:rsidRDefault="000E2C88" w:rsidP="00D7588C">
            <w:pPr>
              <w:jc w:val="center"/>
            </w:pPr>
          </w:p>
        </w:tc>
        <w:tc>
          <w:tcPr>
            <w:tcW w:w="1060" w:type="dxa"/>
          </w:tcPr>
          <w:p w:rsidR="000E2C88" w:rsidRDefault="000E2C88" w:rsidP="00D7588C">
            <w:pPr>
              <w:jc w:val="center"/>
            </w:pPr>
          </w:p>
        </w:tc>
        <w:tc>
          <w:tcPr>
            <w:tcW w:w="915" w:type="dxa"/>
          </w:tcPr>
          <w:p w:rsidR="000E2C88" w:rsidRDefault="000E2C88" w:rsidP="00D7588C">
            <w:pPr>
              <w:jc w:val="center"/>
            </w:pPr>
          </w:p>
        </w:tc>
        <w:tc>
          <w:tcPr>
            <w:tcW w:w="1532" w:type="dxa"/>
            <w:gridSpan w:val="2"/>
          </w:tcPr>
          <w:p w:rsidR="000E2C88" w:rsidRDefault="000E2C88" w:rsidP="00D7588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0E2C88" w:rsidRDefault="000E2C88" w:rsidP="00D7588C">
            <w:pPr>
              <w:jc w:val="center"/>
            </w:pPr>
          </w:p>
        </w:tc>
        <w:tc>
          <w:tcPr>
            <w:tcW w:w="1417" w:type="dxa"/>
          </w:tcPr>
          <w:p w:rsidR="000E2C88" w:rsidRDefault="000E2C88" w:rsidP="00D7588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x</w:t>
            </w:r>
          </w:p>
        </w:tc>
      </w:tr>
      <w:tr w:rsidR="000E2C88" w:rsidTr="00D7588C">
        <w:tc>
          <w:tcPr>
            <w:tcW w:w="3067" w:type="dxa"/>
            <w:gridSpan w:val="3"/>
            <w:shd w:val="clear" w:color="auto" w:fill="D9D9D9" w:themeFill="background1" w:themeFillShade="D9"/>
          </w:tcPr>
          <w:p w:rsidR="000E2C88" w:rsidRDefault="000E2C88" w:rsidP="00D7588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0E2C88" w:rsidRDefault="000E2C88" w:rsidP="00D7588C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E2C88" w:rsidRDefault="000E2C88" w:rsidP="00D7588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0E2C88" w:rsidRDefault="000E2C88" w:rsidP="00D7588C"/>
        </w:tc>
        <w:tc>
          <w:tcPr>
            <w:tcW w:w="898" w:type="dxa"/>
            <w:shd w:val="clear" w:color="auto" w:fill="FABF8F" w:themeFill="accent6" w:themeFillTint="99"/>
          </w:tcPr>
          <w:p w:rsidR="000E2C88" w:rsidRDefault="000E2C88" w:rsidP="00D7588C"/>
        </w:tc>
        <w:tc>
          <w:tcPr>
            <w:tcW w:w="825" w:type="dxa"/>
            <w:shd w:val="clear" w:color="auto" w:fill="FABF8F" w:themeFill="accent6" w:themeFillTint="99"/>
          </w:tcPr>
          <w:p w:rsidR="000E2C88" w:rsidRDefault="000E2C88" w:rsidP="00D7588C"/>
        </w:tc>
        <w:tc>
          <w:tcPr>
            <w:tcW w:w="946" w:type="dxa"/>
            <w:shd w:val="clear" w:color="auto" w:fill="FABF8F" w:themeFill="accent6" w:themeFillTint="99"/>
          </w:tcPr>
          <w:p w:rsidR="000E2C88" w:rsidRDefault="000E2C88" w:rsidP="00D7588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0E2C88" w:rsidRDefault="000E2C88" w:rsidP="00D7588C"/>
        </w:tc>
        <w:tc>
          <w:tcPr>
            <w:tcW w:w="874" w:type="dxa"/>
            <w:shd w:val="clear" w:color="auto" w:fill="FABF8F" w:themeFill="accent6" w:themeFillTint="99"/>
          </w:tcPr>
          <w:p w:rsidR="000E2C88" w:rsidRDefault="000E2C88" w:rsidP="00D7588C"/>
        </w:tc>
      </w:tr>
    </w:tbl>
    <w:p w:rsidR="000E2C88" w:rsidRDefault="000E2C88" w:rsidP="000E2C88"/>
    <w:p w:rsidR="000E2C88" w:rsidRDefault="000E2C88" w:rsidP="000E2C88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0E2C88" w:rsidRDefault="000E2C88" w:rsidP="000E2C88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575"/>
        <w:gridCol w:w="927"/>
        <w:gridCol w:w="878"/>
        <w:gridCol w:w="326"/>
        <w:gridCol w:w="325"/>
        <w:gridCol w:w="945"/>
        <w:gridCol w:w="320"/>
        <w:gridCol w:w="319"/>
        <w:gridCol w:w="922"/>
        <w:gridCol w:w="831"/>
        <w:gridCol w:w="948"/>
        <w:gridCol w:w="865"/>
        <w:gridCol w:w="953"/>
        <w:gridCol w:w="1031"/>
        <w:gridCol w:w="841"/>
      </w:tblGrid>
      <w:tr w:rsidR="000E2C88" w:rsidTr="00750292">
        <w:trPr>
          <w:trHeight w:val="547"/>
        </w:trPr>
        <w:tc>
          <w:tcPr>
            <w:tcW w:w="1035" w:type="pct"/>
            <w:shd w:val="clear" w:color="auto" w:fill="D9D9D9" w:themeFill="background1" w:themeFillShade="D9"/>
          </w:tcPr>
          <w:p w:rsidR="000E2C88" w:rsidRDefault="000E2C88" w:rsidP="00D7588C">
            <w:r>
              <w:t xml:space="preserve">A)Actividades a realizar para la obtención del producto esperado </w:t>
            </w:r>
          </w:p>
        </w:tc>
        <w:tc>
          <w:tcPr>
            <w:tcW w:w="3965" w:type="pct"/>
            <w:gridSpan w:val="14"/>
            <w:shd w:val="clear" w:color="auto" w:fill="auto"/>
          </w:tcPr>
          <w:p w:rsidR="000E2C88" w:rsidRDefault="000E2C88" w:rsidP="00D7588C">
            <w:pPr>
              <w:jc w:val="both"/>
            </w:pPr>
            <w:r>
              <w:t>Modernizar el sistema SAID</w:t>
            </w:r>
            <w:r w:rsidR="00642D92">
              <w:t xml:space="preserve"> y de captura de IPH</w:t>
            </w:r>
            <w:r w:rsidR="004F7294">
              <w:t>.</w:t>
            </w:r>
          </w:p>
          <w:p w:rsidR="004F7294" w:rsidRDefault="004F7294" w:rsidP="00D7588C">
            <w:pPr>
              <w:jc w:val="both"/>
            </w:pPr>
            <w:r>
              <w:t>(VALOR INICIAL 50-VALOR FINAL 100)</w:t>
            </w:r>
          </w:p>
        </w:tc>
      </w:tr>
      <w:tr w:rsidR="000E2C88" w:rsidTr="00750292">
        <w:trPr>
          <w:trHeight w:val="547"/>
        </w:trPr>
        <w:tc>
          <w:tcPr>
            <w:tcW w:w="1035" w:type="pct"/>
            <w:shd w:val="clear" w:color="auto" w:fill="D9D9D9" w:themeFill="background1" w:themeFillShade="D9"/>
          </w:tcPr>
          <w:p w:rsidR="000E2C88" w:rsidRDefault="000E2C88" w:rsidP="00D7588C">
            <w:r>
              <w:t>B) Principal producto esperado (base para el establecimiento de metas)</w:t>
            </w:r>
          </w:p>
        </w:tc>
        <w:tc>
          <w:tcPr>
            <w:tcW w:w="3965" w:type="pct"/>
            <w:gridSpan w:val="14"/>
            <w:shd w:val="clear" w:color="auto" w:fill="auto"/>
          </w:tcPr>
          <w:p w:rsidR="000E2C88" w:rsidRDefault="000E2C88" w:rsidP="00D7588C">
            <w:pPr>
              <w:jc w:val="both"/>
            </w:pPr>
            <w:r>
              <w:t>Modernización del área, mejor identificación de zonas criminógenas y la adecuación de las estrategias en materia de seguridad que permitan disminuir las conductas delictivas</w:t>
            </w:r>
            <w:r w:rsidR="00642D92">
              <w:t xml:space="preserve"> e infracciones en nuestro municipio a travé</w:t>
            </w:r>
            <w:r>
              <w:t>s del uso de las tecnologías</w:t>
            </w:r>
            <w:r w:rsidR="00642D92">
              <w:t>. La optimización de los recursos y disminución en gastos de traslado y papelería.</w:t>
            </w:r>
            <w:r w:rsidR="005A3A3A">
              <w:t xml:space="preserve"> Este proyecto es complemento de la modernización del área de UDAI</w:t>
            </w:r>
          </w:p>
          <w:p w:rsidR="000E2C88" w:rsidRDefault="000E2C88" w:rsidP="00D7588C">
            <w:pPr>
              <w:jc w:val="both"/>
            </w:pPr>
          </w:p>
        </w:tc>
      </w:tr>
      <w:tr w:rsidR="00CE56B1" w:rsidTr="00750292">
        <w:trPr>
          <w:trHeight w:val="547"/>
        </w:trPr>
        <w:tc>
          <w:tcPr>
            <w:tcW w:w="1035" w:type="pct"/>
            <w:shd w:val="clear" w:color="auto" w:fill="D9D9D9" w:themeFill="background1" w:themeFillShade="D9"/>
          </w:tcPr>
          <w:p w:rsidR="00CE56B1" w:rsidRDefault="00CE56B1" w:rsidP="00D7588C">
            <w:r>
              <w:t xml:space="preserve">Indicador de Resultados vinculado al PMD según Línea de Acción </w:t>
            </w:r>
          </w:p>
        </w:tc>
        <w:tc>
          <w:tcPr>
            <w:tcW w:w="3965" w:type="pct"/>
            <w:gridSpan w:val="14"/>
            <w:shd w:val="clear" w:color="auto" w:fill="FABF8F" w:themeFill="accent6" w:themeFillTint="99"/>
          </w:tcPr>
          <w:p w:rsidR="00CE56B1" w:rsidRDefault="00CE56B1" w:rsidP="00B75DCD">
            <w:pPr>
              <w:jc w:val="both"/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de porcentaje de acciones efectivas y oportunas.</w:t>
            </w:r>
          </w:p>
        </w:tc>
      </w:tr>
      <w:tr w:rsidR="00CE56B1" w:rsidTr="00750292">
        <w:trPr>
          <w:trHeight w:val="547"/>
        </w:trPr>
        <w:tc>
          <w:tcPr>
            <w:tcW w:w="1035" w:type="pct"/>
            <w:shd w:val="clear" w:color="auto" w:fill="D9D9D9" w:themeFill="background1" w:themeFillShade="D9"/>
          </w:tcPr>
          <w:p w:rsidR="00CE56B1" w:rsidRDefault="00CE56B1" w:rsidP="00D7588C">
            <w:r>
              <w:t xml:space="preserve">Indicador vinculado a los Objetivos de Desarrollo Sostenible </w:t>
            </w:r>
          </w:p>
        </w:tc>
        <w:tc>
          <w:tcPr>
            <w:tcW w:w="3965" w:type="pct"/>
            <w:gridSpan w:val="14"/>
            <w:shd w:val="clear" w:color="auto" w:fill="FABF8F" w:themeFill="accent6" w:themeFillTint="99"/>
          </w:tcPr>
          <w:p w:rsidR="00CE56B1" w:rsidRDefault="00CE56B1" w:rsidP="00B75DCD">
            <w:pPr>
              <w:jc w:val="both"/>
            </w:pPr>
            <w:r>
              <w:t>16</w:t>
            </w:r>
          </w:p>
        </w:tc>
      </w:tr>
      <w:tr w:rsidR="000E2C88" w:rsidTr="00750292">
        <w:tc>
          <w:tcPr>
            <w:tcW w:w="1035" w:type="pct"/>
            <w:vMerge w:val="restart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Alcance</w:t>
            </w:r>
          </w:p>
        </w:tc>
        <w:tc>
          <w:tcPr>
            <w:tcW w:w="984" w:type="pct"/>
            <w:gridSpan w:val="3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Corto Plazo</w:t>
            </w:r>
          </w:p>
        </w:tc>
        <w:tc>
          <w:tcPr>
            <w:tcW w:w="1755" w:type="pct"/>
            <w:gridSpan w:val="7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Mediano Plazo</w:t>
            </w:r>
          </w:p>
        </w:tc>
        <w:tc>
          <w:tcPr>
            <w:tcW w:w="1226" w:type="pct"/>
            <w:gridSpan w:val="4"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  <w:r>
              <w:t>Largo Plazo</w:t>
            </w:r>
          </w:p>
        </w:tc>
      </w:tr>
      <w:tr w:rsidR="000E2C88" w:rsidTr="00750292">
        <w:tc>
          <w:tcPr>
            <w:tcW w:w="1035" w:type="pct"/>
            <w:vMerge/>
            <w:shd w:val="clear" w:color="auto" w:fill="D9D9D9" w:themeFill="background1" w:themeFillShade="D9"/>
          </w:tcPr>
          <w:p w:rsidR="000E2C88" w:rsidRDefault="000E2C88" w:rsidP="00D7588C">
            <w:pPr>
              <w:jc w:val="center"/>
            </w:pPr>
          </w:p>
        </w:tc>
        <w:tc>
          <w:tcPr>
            <w:tcW w:w="984" w:type="pct"/>
            <w:gridSpan w:val="3"/>
            <w:shd w:val="clear" w:color="auto" w:fill="auto"/>
          </w:tcPr>
          <w:p w:rsidR="000E2C88" w:rsidRDefault="000E2C88" w:rsidP="004F7294">
            <w:pPr>
              <w:jc w:val="center"/>
            </w:pPr>
          </w:p>
        </w:tc>
        <w:tc>
          <w:tcPr>
            <w:tcW w:w="1755" w:type="pct"/>
            <w:gridSpan w:val="7"/>
            <w:shd w:val="clear" w:color="auto" w:fill="auto"/>
          </w:tcPr>
          <w:p w:rsidR="000E2C88" w:rsidRDefault="004F7294" w:rsidP="004F7294">
            <w:pPr>
              <w:jc w:val="center"/>
            </w:pPr>
            <w:r>
              <w:t>´X</w:t>
            </w:r>
          </w:p>
        </w:tc>
        <w:tc>
          <w:tcPr>
            <w:tcW w:w="1226" w:type="pct"/>
            <w:gridSpan w:val="4"/>
            <w:shd w:val="clear" w:color="auto" w:fill="auto"/>
          </w:tcPr>
          <w:p w:rsidR="000E2C88" w:rsidRDefault="000E2C88" w:rsidP="004F7294">
            <w:pPr>
              <w:jc w:val="center"/>
            </w:pPr>
          </w:p>
        </w:tc>
      </w:tr>
      <w:tr w:rsidR="00750292" w:rsidTr="00750292">
        <w:tc>
          <w:tcPr>
            <w:tcW w:w="1035" w:type="pct"/>
            <w:shd w:val="clear" w:color="auto" w:fill="D9D9D9" w:themeFill="background1" w:themeFillShade="D9"/>
          </w:tcPr>
          <w:p w:rsidR="00750292" w:rsidRDefault="00750292" w:rsidP="00D7588C">
            <w:r>
              <w:t>C) Valor Inicial de la Meta</w:t>
            </w:r>
          </w:p>
        </w:tc>
        <w:tc>
          <w:tcPr>
            <w:tcW w:w="1504" w:type="pct"/>
            <w:gridSpan w:val="6"/>
            <w:shd w:val="clear" w:color="auto" w:fill="D9D9D9" w:themeFill="background1" w:themeFillShade="D9"/>
          </w:tcPr>
          <w:p w:rsidR="00750292" w:rsidRDefault="00750292" w:rsidP="00D7588C">
            <w:pPr>
              <w:jc w:val="center"/>
            </w:pPr>
            <w:r>
              <w:t>Valor final de la Meta</w:t>
            </w:r>
          </w:p>
        </w:tc>
        <w:tc>
          <w:tcPr>
            <w:tcW w:w="1339" w:type="pct"/>
            <w:gridSpan w:val="5"/>
            <w:shd w:val="clear" w:color="auto" w:fill="D9D9D9" w:themeFill="background1" w:themeFillShade="D9"/>
          </w:tcPr>
          <w:p w:rsidR="00750292" w:rsidRDefault="00750292" w:rsidP="007A72C9">
            <w:pPr>
              <w:jc w:val="center"/>
            </w:pPr>
            <w:r>
              <w:t>Nombre del indicador</w:t>
            </w:r>
          </w:p>
        </w:tc>
        <w:tc>
          <w:tcPr>
            <w:tcW w:w="1123" w:type="pct"/>
            <w:gridSpan w:val="3"/>
            <w:shd w:val="clear" w:color="auto" w:fill="D9D9D9" w:themeFill="background1" w:themeFillShade="D9"/>
          </w:tcPr>
          <w:p w:rsidR="00750292" w:rsidRDefault="00750292" w:rsidP="007A72C9">
            <w:pPr>
              <w:jc w:val="center"/>
            </w:pPr>
            <w:r>
              <w:t>Formula del indicador</w:t>
            </w:r>
          </w:p>
        </w:tc>
      </w:tr>
      <w:tr w:rsidR="00750292" w:rsidTr="00750292">
        <w:tc>
          <w:tcPr>
            <w:tcW w:w="1035" w:type="pct"/>
            <w:shd w:val="clear" w:color="auto" w:fill="auto"/>
          </w:tcPr>
          <w:p w:rsidR="00750292" w:rsidRDefault="004F7294" w:rsidP="00D7588C">
            <w:pPr>
              <w:jc w:val="center"/>
            </w:pPr>
            <w:r>
              <w:t>0 Servicios de Internet</w:t>
            </w:r>
          </w:p>
        </w:tc>
        <w:tc>
          <w:tcPr>
            <w:tcW w:w="1504" w:type="pct"/>
            <w:gridSpan w:val="6"/>
            <w:shd w:val="clear" w:color="auto" w:fill="auto"/>
          </w:tcPr>
          <w:p w:rsidR="00750292" w:rsidRDefault="004F7294" w:rsidP="00D7588C">
            <w:pPr>
              <w:jc w:val="center"/>
            </w:pPr>
            <w:r>
              <w:t>__ Servicios de Internet</w:t>
            </w:r>
          </w:p>
        </w:tc>
        <w:tc>
          <w:tcPr>
            <w:tcW w:w="1339" w:type="pct"/>
            <w:gridSpan w:val="5"/>
            <w:shd w:val="clear" w:color="auto" w:fill="auto"/>
          </w:tcPr>
          <w:p w:rsidR="00750292" w:rsidRDefault="0063301E" w:rsidP="006C6441">
            <w:pPr>
              <w:jc w:val="both"/>
            </w:pPr>
            <w:r w:rsidRPr="0063301E">
              <w:t>Porcentaje de avance en la dotación de Servicio de Internet en los cinco sectores policiacos existentes y en las áreas de barandilla</w:t>
            </w:r>
            <w:r>
              <w:t>.</w:t>
            </w:r>
          </w:p>
        </w:tc>
        <w:tc>
          <w:tcPr>
            <w:tcW w:w="1123" w:type="pct"/>
            <w:gridSpan w:val="3"/>
            <w:shd w:val="clear" w:color="auto" w:fill="auto"/>
          </w:tcPr>
          <w:p w:rsidR="00750292" w:rsidRDefault="00750292" w:rsidP="00750292">
            <w:pPr>
              <w:jc w:val="both"/>
            </w:pPr>
          </w:p>
        </w:tc>
      </w:tr>
      <w:tr w:rsidR="000E2C88" w:rsidTr="00750292">
        <w:tc>
          <w:tcPr>
            <w:tcW w:w="2539" w:type="pct"/>
            <w:gridSpan w:val="7"/>
            <w:shd w:val="clear" w:color="auto" w:fill="D9D9D9" w:themeFill="background1" w:themeFillShade="D9"/>
          </w:tcPr>
          <w:p w:rsidR="000E2C88" w:rsidRDefault="000E2C88" w:rsidP="00D7588C">
            <w:r>
              <w:t>Clave de presupuesto determinada en Finanzas para la etiquetación de recursos</w:t>
            </w:r>
          </w:p>
        </w:tc>
        <w:tc>
          <w:tcPr>
            <w:tcW w:w="2461" w:type="pct"/>
            <w:gridSpan w:val="8"/>
            <w:shd w:val="clear" w:color="auto" w:fill="FABF8F" w:themeFill="accent6" w:themeFillTint="99"/>
          </w:tcPr>
          <w:p w:rsidR="000E2C88" w:rsidRDefault="000E2C88" w:rsidP="00D7588C"/>
        </w:tc>
      </w:tr>
      <w:tr w:rsidR="000E2C88" w:rsidTr="00750292">
        <w:trPr>
          <w:trHeight w:val="28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0E2C88" w:rsidRDefault="000E2C88" w:rsidP="00D7588C">
            <w:pPr>
              <w:jc w:val="center"/>
            </w:pPr>
            <w:r>
              <w:t>Cronograma Anual  de Actividades</w:t>
            </w:r>
          </w:p>
        </w:tc>
      </w:tr>
      <w:tr w:rsidR="000E2C88" w:rsidTr="00D7588C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0E2C88" w:rsidRDefault="000E2C88" w:rsidP="00D7588C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E2C88" w:rsidRDefault="000E2C88" w:rsidP="00D7588C">
            <w:pPr>
              <w:jc w:val="center"/>
            </w:pPr>
            <w:r>
              <w:t>DIC</w:t>
            </w:r>
          </w:p>
        </w:tc>
      </w:tr>
      <w:tr w:rsidR="000E2C88" w:rsidTr="00D7588C">
        <w:trPr>
          <w:trHeight w:val="312"/>
        </w:trPr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Contratación de sistema de internet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5A3A3A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</w:tr>
      <w:tr w:rsidR="000E2C88" w:rsidTr="00D7588C">
        <w:trPr>
          <w:trHeight w:val="288"/>
        </w:trPr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Implementación y </w:t>
            </w:r>
            <w:r>
              <w:rPr>
                <w:sz w:val="20"/>
              </w:rPr>
              <w:lastRenderedPageBreak/>
              <w:t>capacitación del uso del sistema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</w:tr>
      <w:tr w:rsidR="000E2C88" w:rsidTr="00D7588C">
        <w:trPr>
          <w:trHeight w:val="263"/>
        </w:trPr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both"/>
              <w:rPr>
                <w:sz w:val="20"/>
              </w:rPr>
            </w:pPr>
            <w:r>
              <w:rPr>
                <w:sz w:val="20"/>
              </w:rPr>
              <w:t>Supervisión del tema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0E2C88" w:rsidP="00D758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2C88" w:rsidRPr="00145F76" w:rsidRDefault="00642D92" w:rsidP="00D758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0E2C88" w:rsidRDefault="000E2C88" w:rsidP="000E2C88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  <w:bookmarkStart w:id="0" w:name="_GoBack"/>
      <w:bookmarkEnd w:id="0"/>
    </w:p>
    <w:sectPr w:rsidR="000E2C88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C9" w:rsidRDefault="007A72C9" w:rsidP="00831F7E">
      <w:pPr>
        <w:spacing w:after="0" w:line="240" w:lineRule="auto"/>
      </w:pPr>
      <w:r>
        <w:separator/>
      </w:r>
    </w:p>
  </w:endnote>
  <w:endnote w:type="continuationSeparator" w:id="0">
    <w:p w:rsidR="007A72C9" w:rsidRDefault="007A72C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C9" w:rsidRDefault="007A72C9" w:rsidP="00831F7E">
      <w:pPr>
        <w:spacing w:after="0" w:line="240" w:lineRule="auto"/>
      </w:pPr>
      <w:r>
        <w:separator/>
      </w:r>
    </w:p>
  </w:footnote>
  <w:footnote w:type="continuationSeparator" w:id="0">
    <w:p w:rsidR="007A72C9" w:rsidRDefault="007A72C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00051"/>
    <w:rsid w:val="00002285"/>
    <w:rsid w:val="000042F9"/>
    <w:rsid w:val="00017BB7"/>
    <w:rsid w:val="00022C3A"/>
    <w:rsid w:val="0003322C"/>
    <w:rsid w:val="000473B9"/>
    <w:rsid w:val="000607D5"/>
    <w:rsid w:val="0006699A"/>
    <w:rsid w:val="0007591E"/>
    <w:rsid w:val="00077A68"/>
    <w:rsid w:val="00094BAF"/>
    <w:rsid w:val="000A37D9"/>
    <w:rsid w:val="000B2244"/>
    <w:rsid w:val="000B6193"/>
    <w:rsid w:val="000C70C7"/>
    <w:rsid w:val="000D0701"/>
    <w:rsid w:val="000D27C8"/>
    <w:rsid w:val="000D5483"/>
    <w:rsid w:val="000D76A0"/>
    <w:rsid w:val="000E2C88"/>
    <w:rsid w:val="000F14EB"/>
    <w:rsid w:val="000F3AE0"/>
    <w:rsid w:val="001025F1"/>
    <w:rsid w:val="00113EC1"/>
    <w:rsid w:val="00115B5F"/>
    <w:rsid w:val="00120308"/>
    <w:rsid w:val="00121462"/>
    <w:rsid w:val="00125356"/>
    <w:rsid w:val="00125DC7"/>
    <w:rsid w:val="0013496D"/>
    <w:rsid w:val="00135926"/>
    <w:rsid w:val="00145F76"/>
    <w:rsid w:val="0015123E"/>
    <w:rsid w:val="00153BBB"/>
    <w:rsid w:val="00155BA4"/>
    <w:rsid w:val="001573F0"/>
    <w:rsid w:val="00191343"/>
    <w:rsid w:val="00195B59"/>
    <w:rsid w:val="001A5139"/>
    <w:rsid w:val="001C56A9"/>
    <w:rsid w:val="001F5482"/>
    <w:rsid w:val="001F5B4A"/>
    <w:rsid w:val="00212E94"/>
    <w:rsid w:val="0021498C"/>
    <w:rsid w:val="00220D06"/>
    <w:rsid w:val="002315CE"/>
    <w:rsid w:val="00244BBA"/>
    <w:rsid w:val="00275DFE"/>
    <w:rsid w:val="00283259"/>
    <w:rsid w:val="00294FFE"/>
    <w:rsid w:val="00295B7B"/>
    <w:rsid w:val="00296300"/>
    <w:rsid w:val="002A3861"/>
    <w:rsid w:val="002B6AC4"/>
    <w:rsid w:val="002D6594"/>
    <w:rsid w:val="002E08B6"/>
    <w:rsid w:val="002F2DAB"/>
    <w:rsid w:val="003213B1"/>
    <w:rsid w:val="0034644A"/>
    <w:rsid w:val="00354265"/>
    <w:rsid w:val="0035529E"/>
    <w:rsid w:val="00374D08"/>
    <w:rsid w:val="0038034B"/>
    <w:rsid w:val="0039041A"/>
    <w:rsid w:val="00393FB9"/>
    <w:rsid w:val="003968A1"/>
    <w:rsid w:val="003978F6"/>
    <w:rsid w:val="003A312E"/>
    <w:rsid w:val="003B2B09"/>
    <w:rsid w:val="003C3FD5"/>
    <w:rsid w:val="003D49DF"/>
    <w:rsid w:val="003F0907"/>
    <w:rsid w:val="003F1857"/>
    <w:rsid w:val="003F5FFE"/>
    <w:rsid w:val="00415510"/>
    <w:rsid w:val="00461040"/>
    <w:rsid w:val="004840BF"/>
    <w:rsid w:val="00485EB9"/>
    <w:rsid w:val="004974DC"/>
    <w:rsid w:val="004B17E0"/>
    <w:rsid w:val="004C655C"/>
    <w:rsid w:val="004D73DA"/>
    <w:rsid w:val="004E1777"/>
    <w:rsid w:val="004E7E39"/>
    <w:rsid w:val="004F7294"/>
    <w:rsid w:val="00507023"/>
    <w:rsid w:val="005132E8"/>
    <w:rsid w:val="005274FD"/>
    <w:rsid w:val="00541F08"/>
    <w:rsid w:val="00542487"/>
    <w:rsid w:val="00545BA2"/>
    <w:rsid w:val="005461F3"/>
    <w:rsid w:val="005478E1"/>
    <w:rsid w:val="00553CDF"/>
    <w:rsid w:val="00556712"/>
    <w:rsid w:val="00557ED2"/>
    <w:rsid w:val="00562E10"/>
    <w:rsid w:val="00571D3D"/>
    <w:rsid w:val="005732E8"/>
    <w:rsid w:val="005739F5"/>
    <w:rsid w:val="00581A80"/>
    <w:rsid w:val="005868EB"/>
    <w:rsid w:val="005974A7"/>
    <w:rsid w:val="005A3A3A"/>
    <w:rsid w:val="005A4501"/>
    <w:rsid w:val="005A6D14"/>
    <w:rsid w:val="005C462C"/>
    <w:rsid w:val="005C6958"/>
    <w:rsid w:val="005D5A2D"/>
    <w:rsid w:val="005D6B0E"/>
    <w:rsid w:val="005E58EB"/>
    <w:rsid w:val="005F218D"/>
    <w:rsid w:val="00603845"/>
    <w:rsid w:val="006235EC"/>
    <w:rsid w:val="0063301E"/>
    <w:rsid w:val="00640878"/>
    <w:rsid w:val="00642D92"/>
    <w:rsid w:val="00650F82"/>
    <w:rsid w:val="006604D2"/>
    <w:rsid w:val="00662A87"/>
    <w:rsid w:val="00663511"/>
    <w:rsid w:val="00663E7F"/>
    <w:rsid w:val="006714ED"/>
    <w:rsid w:val="00672F15"/>
    <w:rsid w:val="0068296C"/>
    <w:rsid w:val="0068316A"/>
    <w:rsid w:val="00687B8E"/>
    <w:rsid w:val="00697266"/>
    <w:rsid w:val="006A27D8"/>
    <w:rsid w:val="006A2932"/>
    <w:rsid w:val="006B3B20"/>
    <w:rsid w:val="006C4E80"/>
    <w:rsid w:val="006C6441"/>
    <w:rsid w:val="006D04CE"/>
    <w:rsid w:val="006E0181"/>
    <w:rsid w:val="006E48D8"/>
    <w:rsid w:val="006F0539"/>
    <w:rsid w:val="00700C4B"/>
    <w:rsid w:val="007031DE"/>
    <w:rsid w:val="00721DB4"/>
    <w:rsid w:val="00741539"/>
    <w:rsid w:val="00741816"/>
    <w:rsid w:val="00750292"/>
    <w:rsid w:val="00756096"/>
    <w:rsid w:val="00762157"/>
    <w:rsid w:val="00772927"/>
    <w:rsid w:val="00774434"/>
    <w:rsid w:val="00775E30"/>
    <w:rsid w:val="00780C41"/>
    <w:rsid w:val="00794ACD"/>
    <w:rsid w:val="007A6B74"/>
    <w:rsid w:val="007A72C9"/>
    <w:rsid w:val="007B133C"/>
    <w:rsid w:val="007E1943"/>
    <w:rsid w:val="007E1B4E"/>
    <w:rsid w:val="007E57AF"/>
    <w:rsid w:val="007F6EFC"/>
    <w:rsid w:val="00803C8A"/>
    <w:rsid w:val="00831976"/>
    <w:rsid w:val="00831F7E"/>
    <w:rsid w:val="008373B2"/>
    <w:rsid w:val="0086220D"/>
    <w:rsid w:val="00865183"/>
    <w:rsid w:val="008823BE"/>
    <w:rsid w:val="008A3D3A"/>
    <w:rsid w:val="008B03B5"/>
    <w:rsid w:val="008C7542"/>
    <w:rsid w:val="008D1CEE"/>
    <w:rsid w:val="008D3779"/>
    <w:rsid w:val="008F60A0"/>
    <w:rsid w:val="0090469D"/>
    <w:rsid w:val="009109C2"/>
    <w:rsid w:val="009213DB"/>
    <w:rsid w:val="00945A37"/>
    <w:rsid w:val="0095054C"/>
    <w:rsid w:val="009515B2"/>
    <w:rsid w:val="0097445E"/>
    <w:rsid w:val="00993555"/>
    <w:rsid w:val="009B06DF"/>
    <w:rsid w:val="009B17BA"/>
    <w:rsid w:val="009C0269"/>
    <w:rsid w:val="009C363D"/>
    <w:rsid w:val="009E163A"/>
    <w:rsid w:val="009F3D1F"/>
    <w:rsid w:val="009F4737"/>
    <w:rsid w:val="009F50FA"/>
    <w:rsid w:val="00A00F82"/>
    <w:rsid w:val="00A11194"/>
    <w:rsid w:val="00A12826"/>
    <w:rsid w:val="00A208D4"/>
    <w:rsid w:val="00A40F7F"/>
    <w:rsid w:val="00A465A0"/>
    <w:rsid w:val="00A5364D"/>
    <w:rsid w:val="00A53855"/>
    <w:rsid w:val="00A54029"/>
    <w:rsid w:val="00A57343"/>
    <w:rsid w:val="00A65F50"/>
    <w:rsid w:val="00A74FAF"/>
    <w:rsid w:val="00A922E6"/>
    <w:rsid w:val="00AA4922"/>
    <w:rsid w:val="00AB1D63"/>
    <w:rsid w:val="00AB52C1"/>
    <w:rsid w:val="00AC04F7"/>
    <w:rsid w:val="00AD0FB7"/>
    <w:rsid w:val="00AD4ED4"/>
    <w:rsid w:val="00AD667C"/>
    <w:rsid w:val="00AD6C33"/>
    <w:rsid w:val="00AE7F03"/>
    <w:rsid w:val="00AF1F8D"/>
    <w:rsid w:val="00AF641E"/>
    <w:rsid w:val="00AF730C"/>
    <w:rsid w:val="00B006E2"/>
    <w:rsid w:val="00B1501F"/>
    <w:rsid w:val="00B25744"/>
    <w:rsid w:val="00B35630"/>
    <w:rsid w:val="00B44A80"/>
    <w:rsid w:val="00B57F5F"/>
    <w:rsid w:val="00B71E93"/>
    <w:rsid w:val="00B71F35"/>
    <w:rsid w:val="00B75DCD"/>
    <w:rsid w:val="00BC00A9"/>
    <w:rsid w:val="00BD3416"/>
    <w:rsid w:val="00BD68DC"/>
    <w:rsid w:val="00BE28A4"/>
    <w:rsid w:val="00BF4795"/>
    <w:rsid w:val="00C05335"/>
    <w:rsid w:val="00C12013"/>
    <w:rsid w:val="00C3208D"/>
    <w:rsid w:val="00C426F5"/>
    <w:rsid w:val="00C565AC"/>
    <w:rsid w:val="00C71FB5"/>
    <w:rsid w:val="00C832C2"/>
    <w:rsid w:val="00CE05C5"/>
    <w:rsid w:val="00CE56B1"/>
    <w:rsid w:val="00CF6B86"/>
    <w:rsid w:val="00D017AC"/>
    <w:rsid w:val="00D20D47"/>
    <w:rsid w:val="00D22792"/>
    <w:rsid w:val="00D273F1"/>
    <w:rsid w:val="00D50738"/>
    <w:rsid w:val="00D51293"/>
    <w:rsid w:val="00D66FE1"/>
    <w:rsid w:val="00D729B4"/>
    <w:rsid w:val="00D74AE5"/>
    <w:rsid w:val="00D7588C"/>
    <w:rsid w:val="00D92E6C"/>
    <w:rsid w:val="00DA1F68"/>
    <w:rsid w:val="00DB0FA4"/>
    <w:rsid w:val="00DB267B"/>
    <w:rsid w:val="00DC13B1"/>
    <w:rsid w:val="00DD5358"/>
    <w:rsid w:val="00DE50F9"/>
    <w:rsid w:val="00DF3242"/>
    <w:rsid w:val="00E01535"/>
    <w:rsid w:val="00E020DE"/>
    <w:rsid w:val="00E0271D"/>
    <w:rsid w:val="00E12AD3"/>
    <w:rsid w:val="00E255C1"/>
    <w:rsid w:val="00E30C7A"/>
    <w:rsid w:val="00E57798"/>
    <w:rsid w:val="00E6571B"/>
    <w:rsid w:val="00E664EA"/>
    <w:rsid w:val="00E71DF0"/>
    <w:rsid w:val="00E81D19"/>
    <w:rsid w:val="00E92FBE"/>
    <w:rsid w:val="00EB3B96"/>
    <w:rsid w:val="00ED521E"/>
    <w:rsid w:val="00EE1430"/>
    <w:rsid w:val="00EE3B03"/>
    <w:rsid w:val="00EE460C"/>
    <w:rsid w:val="00EE6061"/>
    <w:rsid w:val="00EF0C5B"/>
    <w:rsid w:val="00EF78FF"/>
    <w:rsid w:val="00F03F5E"/>
    <w:rsid w:val="00F1128B"/>
    <w:rsid w:val="00F13C60"/>
    <w:rsid w:val="00F150E9"/>
    <w:rsid w:val="00F33A72"/>
    <w:rsid w:val="00F41B72"/>
    <w:rsid w:val="00F44230"/>
    <w:rsid w:val="00F542C1"/>
    <w:rsid w:val="00F66E3B"/>
    <w:rsid w:val="00F8230A"/>
    <w:rsid w:val="00F8346D"/>
    <w:rsid w:val="00F86CE9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69FE7-E22F-4449-8EA9-AB2B1C47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AB1D6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duarte@Tlaquepaque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duarte@tlaquepaque.gob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ria.duarte@Tlaquepaque.gob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a.duarte@Tlaquepaque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2158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48</cp:revision>
  <cp:lastPrinted>2016-12-05T14:45:00Z</cp:lastPrinted>
  <dcterms:created xsi:type="dcterms:W3CDTF">2017-01-03T19:26:00Z</dcterms:created>
  <dcterms:modified xsi:type="dcterms:W3CDTF">2017-05-09T18:27:00Z</dcterms:modified>
</cp:coreProperties>
</file>