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541F08" w:rsidP="00623BB6">
      <w:pPr>
        <w:ind w:left="4956"/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1676"/>
        <w:gridCol w:w="1415"/>
        <w:gridCol w:w="896"/>
        <w:gridCol w:w="897"/>
        <w:gridCol w:w="825"/>
        <w:gridCol w:w="946"/>
        <w:gridCol w:w="329"/>
        <w:gridCol w:w="542"/>
        <w:gridCol w:w="872"/>
      </w:tblGrid>
      <w:tr w:rsidR="00A00F82" w:rsidTr="00A8320F">
        <w:trPr>
          <w:trHeight w:val="544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29738E" w:rsidRDefault="0029738E" w:rsidP="00A8320F">
            <w:pPr>
              <w:jc w:val="center"/>
            </w:pPr>
          </w:p>
          <w:p w:rsidR="00E536B8" w:rsidRDefault="00241008" w:rsidP="0043258A">
            <w:r>
              <w:t>Campaña Z</w:t>
            </w:r>
            <w:r w:rsidR="00FA722E">
              <w:t xml:space="preserve">oosanitaria para el control de </w:t>
            </w:r>
            <w:r w:rsidR="00E536B8">
              <w:t xml:space="preserve">Brucelosis y </w:t>
            </w:r>
            <w:r w:rsidR="00FA722E">
              <w:t>Tuberculosis</w:t>
            </w:r>
          </w:p>
          <w:p w:rsidR="0029738E" w:rsidRDefault="0029738E" w:rsidP="00A8320F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3258A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29738E" w:rsidRDefault="00E536B8" w:rsidP="006F1A5C">
            <w:pPr>
              <w:jc w:val="both"/>
            </w:pPr>
            <w:r>
              <w:t>Dirección de Desarrollo Agropecuario (Coordinación Pecuaria)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84387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CC3142" w:rsidP="006F1A5C">
            <w:pPr>
              <w:jc w:val="both"/>
            </w:pPr>
            <w:r>
              <w:t>C)</w:t>
            </w:r>
            <w:r w:rsidR="00195B59">
              <w:t>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29738E" w:rsidRDefault="00D773B1" w:rsidP="00D805A0">
            <w:pPr>
              <w:jc w:val="both"/>
            </w:pPr>
            <w:r w:rsidRPr="0029738E">
              <w:t xml:space="preserve">Prevalecen los productores ganaderos de Traspatio, </w:t>
            </w:r>
            <w:r w:rsidR="00241008">
              <w:t>sin registro de la UPP y en la Asociación G</w:t>
            </w:r>
            <w:r w:rsidR="00412C63">
              <w:t xml:space="preserve">anadera Local, </w:t>
            </w:r>
            <w:r w:rsidRPr="0029738E">
              <w:t xml:space="preserve">subsistiendo con establos de pequeñas dimensiones en este tipo de explotación los ganaderos compran y </w:t>
            </w:r>
            <w:r w:rsidR="00CC273B" w:rsidRPr="0029738E">
              <w:t>venden animales</w:t>
            </w:r>
            <w:r w:rsidRPr="0029738E">
              <w:t xml:space="preserve"> </w:t>
            </w:r>
            <w:r w:rsidR="00CC273B" w:rsidRPr="0029738E">
              <w:t xml:space="preserve">procedentes de otros municipios y dentro del municipio </w:t>
            </w:r>
            <w:r w:rsidRPr="0029738E">
              <w:t xml:space="preserve">de dudosa calidad genética, reactores y </w:t>
            </w:r>
            <w:r w:rsidR="00241008">
              <w:t>p</w:t>
            </w:r>
            <w:r w:rsidR="00CC273B" w:rsidRPr="0029738E">
              <w:t>ositivos a</w:t>
            </w:r>
            <w:r w:rsidRPr="0029738E">
              <w:t xml:space="preserve"> las enfermedades </w:t>
            </w:r>
            <w:r w:rsidR="00241008">
              <w:t>Z</w:t>
            </w:r>
            <w:r w:rsidR="00D805A0">
              <w:t>oo</w:t>
            </w:r>
            <w:r w:rsidR="00241008">
              <w:t>no</w:t>
            </w:r>
            <w:r w:rsidR="00D805A0" w:rsidRPr="0029738E">
              <w:t xml:space="preserve">ticas (Brucelosis y </w:t>
            </w:r>
            <w:r w:rsidR="00241008">
              <w:t>la Tuberculosis); en el presente</w:t>
            </w:r>
            <w:r w:rsidR="00D805A0" w:rsidRPr="0029738E">
              <w:t xml:space="preserve"> año, a travé</w:t>
            </w:r>
            <w:r w:rsidR="00D714DC">
              <w:t>s d</w:t>
            </w:r>
            <w:r w:rsidR="00241008">
              <w:t>el b</w:t>
            </w:r>
            <w:r w:rsidR="00CC273B" w:rsidRPr="0029738E">
              <w:t xml:space="preserve">arrido Municipal se han detectado 30 animales positivos a </w:t>
            </w:r>
            <w:r w:rsidR="00CC273B" w:rsidRPr="00241008">
              <w:rPr>
                <w:i/>
              </w:rPr>
              <w:t>Brucel</w:t>
            </w:r>
            <w:r w:rsidR="00241008" w:rsidRPr="00241008">
              <w:rPr>
                <w:i/>
              </w:rPr>
              <w:t>l</w:t>
            </w:r>
            <w:r w:rsidR="00CC273B" w:rsidRPr="00241008">
              <w:rPr>
                <w:i/>
              </w:rPr>
              <w:t>a</w:t>
            </w:r>
            <w:r w:rsidR="00CC273B" w:rsidRPr="0029738E">
              <w:t xml:space="preserve"> en la localidad de San Sebastianito</w:t>
            </w:r>
            <w:r w:rsidR="00241008">
              <w:t>, San Martín de las Flores</w:t>
            </w:r>
            <w:r w:rsidR="00CC273B" w:rsidRPr="0029738E">
              <w:t xml:space="preserve"> y</w:t>
            </w:r>
            <w:r w:rsidR="00241008">
              <w:t xml:space="preserve"> Santa María Tequepexpan,</w:t>
            </w:r>
            <w:r w:rsidR="00CC273B" w:rsidRPr="0029738E">
              <w:t xml:space="preserve"> en el año 2015 fueron contagiados 4 habitantes de los poblados de San Sebastianito, Toluquilla y </w:t>
            </w:r>
            <w:r w:rsidR="00A8320F" w:rsidRPr="0029738E">
              <w:t>López Cotilla por consumir subproductos de la leche</w:t>
            </w:r>
            <w:r w:rsidR="00412C63">
              <w:t xml:space="preserve">;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8320F" w:rsidP="0029738E">
            <w:pPr>
              <w:jc w:val="both"/>
            </w:pPr>
            <w:r>
              <w:t>En el ámbito</w:t>
            </w:r>
            <w:r w:rsidR="00CC273B">
              <w:t xml:space="preserve"> rural </w:t>
            </w:r>
            <w:r>
              <w:t xml:space="preserve">del municipio, </w:t>
            </w:r>
            <w:r w:rsidR="00CC273B">
              <w:t>donde se ubican los núcleos agr</w:t>
            </w:r>
            <w:r w:rsidR="00CC3142">
              <w:t xml:space="preserve">arios de Santa Anita, Santa Ana </w:t>
            </w:r>
            <w:r w:rsidR="00CC273B">
              <w:t xml:space="preserve">Tepetitlán (Las Pomas), Calerilla, San Sebastianito, Toluquilla,  Los Ranchitos, San Martin de las Flores, </w:t>
            </w:r>
            <w:r w:rsidR="0029738E">
              <w:t xml:space="preserve">                </w:t>
            </w:r>
            <w:r w:rsidR="00CC273B">
              <w:t xml:space="preserve">Los Puestos y San </w:t>
            </w:r>
            <w:r w:rsidR="00854019">
              <w:t>José</w:t>
            </w:r>
            <w:r w:rsidR="00CC273B">
              <w:t xml:space="preserve"> de Tateposco.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E536B8" w:rsidP="00D805A0">
            <w:pPr>
              <w:jc w:val="both"/>
            </w:pPr>
            <w:r>
              <w:t>MVZ Jorge Eduardo Lujan Gómez</w:t>
            </w:r>
            <w:r w:rsidR="00854019">
              <w:t xml:space="preserve">, </w:t>
            </w:r>
            <w:r w:rsidR="00854019">
              <w:br/>
              <w:t>e-</w:t>
            </w:r>
            <w:r w:rsidR="00D805A0">
              <w:t xml:space="preserve">mail:agropecuariotlaquepaque@gmail.com  </w:t>
            </w:r>
            <w:r w:rsidR="00854019">
              <w:t xml:space="preserve">teléfono </w:t>
            </w:r>
            <w:r w:rsidR="00120005">
              <w:t>fijo 3601 1405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C3142" w:rsidP="007208A4">
            <w:pPr>
              <w:jc w:val="both"/>
            </w:pPr>
            <w:r w:rsidRPr="00CC3142">
              <w:t>Incidencia de Tuberculosis y Brucelosis en rumiantes reducida.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29738E" w:rsidRDefault="0029738E" w:rsidP="006F1A5C">
            <w:pPr>
              <w:jc w:val="both"/>
            </w:pPr>
            <w:r>
              <w:t>Productores de ganado mayo</w:t>
            </w:r>
            <w:r w:rsidR="00120005">
              <w:t>r:</w:t>
            </w:r>
            <w:r>
              <w:t xml:space="preserve"> </w:t>
            </w:r>
            <w:r w:rsidR="00120005">
              <w:t>Bovinos carne Bovinos Leche, E</w:t>
            </w:r>
            <w:r>
              <w:t>species menores</w:t>
            </w:r>
            <w:r w:rsidR="00120005">
              <w:t xml:space="preserve">: Ovinos principalmente y habitantes de las Delegaciones de Santa Anita, La Calerilla, San Sebastianito, Toluquilla, López Cotilla, San Martin de las Flores, y San </w:t>
            </w:r>
            <w:r w:rsidR="00854019">
              <w:t>José</w:t>
            </w:r>
            <w:r w:rsidR="00120005">
              <w:t xml:space="preserve"> de Tateposco.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397EAD" w:rsidP="0059788D">
            <w:pPr>
              <w:jc w:val="center"/>
            </w:pPr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397EAD" w:rsidP="00397EAD">
            <w:pPr>
              <w:jc w:val="center"/>
            </w:pPr>
            <w:r>
              <w:t>Permanente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59788D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973944" w:rsidP="006F1A5C">
            <w:pPr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59788D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D714DC" w:rsidP="00264CD1">
            <w:r>
              <w:t xml:space="preserve">$ </w:t>
            </w:r>
            <w:r w:rsidR="00264CD1">
              <w:t>636</w:t>
            </w:r>
            <w:r w:rsidR="00D805A0">
              <w:t>,</w:t>
            </w:r>
            <w:r w:rsidR="00264CD1">
              <w:t>25</w:t>
            </w:r>
            <w:r w:rsidR="00D805A0">
              <w:t>2.0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03AC9" w:rsidP="0032227D">
            <w:r>
              <w:t xml:space="preserve">Dictámenes a </w:t>
            </w:r>
            <w:r w:rsidRPr="00854019">
              <w:rPr>
                <w:i/>
              </w:rPr>
              <w:t>Brucel</w:t>
            </w:r>
            <w:r w:rsidR="00854019" w:rsidRPr="00854019">
              <w:rPr>
                <w:i/>
              </w:rPr>
              <w:t>l</w:t>
            </w:r>
            <w:r w:rsidRPr="00854019">
              <w:rPr>
                <w:i/>
              </w:rPr>
              <w:t>a</w:t>
            </w:r>
            <w:r>
              <w:t>, Dictámenes a Tuberculosis y Hatos Libres</w:t>
            </w:r>
            <w:r w:rsidR="0032227D">
              <w:t>: M</w:t>
            </w:r>
            <w:r w:rsidR="0032227D" w:rsidRPr="004D3D47">
              <w:t>uestras sanguíneas</w:t>
            </w:r>
            <w:r w:rsidR="0032227D">
              <w:t xml:space="preserve"> consecutivas por año (2 a ganado de carne y 3 a ganado lechero)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5526A9" w:rsidP="00854019">
            <w:pPr>
              <w:jc w:val="both"/>
            </w:pPr>
            <w:r>
              <w:t>B.1.-</w:t>
            </w:r>
            <w:r w:rsidR="00205B10">
              <w:t xml:space="preserve"> </w:t>
            </w:r>
            <w:r w:rsidR="00205B10" w:rsidRPr="006238F7">
              <w:t xml:space="preserve">Solicitar </w:t>
            </w:r>
            <w:r w:rsidR="00205B10">
              <w:t xml:space="preserve">Presupuesto </w:t>
            </w:r>
            <w:r w:rsidR="00205B10" w:rsidRPr="006238F7">
              <w:t xml:space="preserve">material </w:t>
            </w:r>
            <w:r w:rsidR="00D714DC">
              <w:t>$ 15,8</w:t>
            </w:r>
            <w:r>
              <w:t>5</w:t>
            </w:r>
            <w:r w:rsidR="00D714DC">
              <w:t>2</w:t>
            </w:r>
            <w:r w:rsidR="00B74B93">
              <w:t>.0</w:t>
            </w:r>
            <w:r w:rsidR="00854019">
              <w:t>0</w:t>
            </w:r>
            <w:r w:rsidR="00B74B93">
              <w:t xml:space="preserve"> </w:t>
            </w:r>
            <w:r w:rsidR="00205B10" w:rsidRPr="006238F7">
              <w:t xml:space="preserve">(tubos, </w:t>
            </w:r>
            <w:r w:rsidR="00854019">
              <w:t>j</w:t>
            </w:r>
            <w:r w:rsidR="00205B10" w:rsidRPr="006238F7">
              <w:t>eringas</w:t>
            </w:r>
            <w:r w:rsidR="00205B10">
              <w:t xml:space="preserve">, </w:t>
            </w:r>
            <w:r w:rsidR="00205B10" w:rsidRPr="006238F7">
              <w:t>agujas</w:t>
            </w:r>
            <w:r w:rsidR="00B74B93">
              <w:t>)</w:t>
            </w:r>
            <w:r w:rsidR="00205B10">
              <w:t xml:space="preserve">, Vehículo </w:t>
            </w:r>
            <w:r w:rsidR="00B74B93">
              <w:t xml:space="preserve">pick up 4 cilindros        $ </w:t>
            </w:r>
            <w:r>
              <w:t>3</w:t>
            </w:r>
            <w:r w:rsidR="00B74B93">
              <w:t xml:space="preserve">00,000 </w:t>
            </w:r>
            <w:r w:rsidR="00205B10">
              <w:t xml:space="preserve">y Apoyo </w:t>
            </w:r>
            <w:r w:rsidR="00D714DC">
              <w:t xml:space="preserve">de $ </w:t>
            </w:r>
            <w:r>
              <w:t>3</w:t>
            </w:r>
            <w:r w:rsidR="00264CD1">
              <w:t>00</w:t>
            </w:r>
            <w:r>
              <w:t>,000</w:t>
            </w:r>
            <w:r w:rsidR="00D714DC">
              <w:t xml:space="preserve">.0 </w:t>
            </w:r>
            <w:r w:rsidR="00205B10">
              <w:t>para la repoblación de los Hatos</w:t>
            </w:r>
            <w:r w:rsidR="00D714DC">
              <w:t xml:space="preserve">, por el sacrificio de </w:t>
            </w:r>
            <w:r>
              <w:t>10</w:t>
            </w:r>
            <w:r w:rsidR="00D714DC">
              <w:t>0 cabezas de ganado</w:t>
            </w:r>
            <w:r w:rsidR="00205B10" w:rsidRPr="006238F7">
              <w:t>)</w:t>
            </w:r>
            <w:r w:rsidR="00205B10">
              <w:t xml:space="preserve">; </w:t>
            </w:r>
            <w:r w:rsidR="00503AC9">
              <w:t>b.</w:t>
            </w:r>
            <w:r w:rsidR="00205B10">
              <w:t>2</w:t>
            </w:r>
            <w:r w:rsidR="00503AC9">
              <w:t>.- Impl</w:t>
            </w:r>
            <w:r w:rsidR="000E4672">
              <w:t>emen</w:t>
            </w:r>
            <w:r w:rsidR="00854019">
              <w:t>tación de la Campaña Z</w:t>
            </w:r>
            <w:r w:rsidR="00503AC9">
              <w:t>oosanitaria</w:t>
            </w:r>
            <w:r w:rsidR="004D3D47">
              <w:t>;</w:t>
            </w:r>
            <w:r w:rsidR="006238F7">
              <w:t xml:space="preserve"> b.</w:t>
            </w:r>
            <w:r w:rsidR="00205B10">
              <w:t>3</w:t>
            </w:r>
            <w:r w:rsidR="006238F7">
              <w:t xml:space="preserve">. </w:t>
            </w:r>
            <w:r w:rsidR="006238F7" w:rsidRPr="006238F7">
              <w:t>Solicita</w:t>
            </w:r>
            <w:r w:rsidR="00854019">
              <w:t>r al ganadero los registros de l</w:t>
            </w:r>
            <w:r w:rsidR="006238F7" w:rsidRPr="006238F7">
              <w:t>a UPP ante la Unión Ganadera Regional de Jalisco, SIINIGA</w:t>
            </w:r>
            <w:r w:rsidR="004D3D47">
              <w:t>;</w:t>
            </w:r>
            <w:r w:rsidR="006238F7">
              <w:t xml:space="preserve"> b</w:t>
            </w:r>
            <w:r w:rsidR="00205B10">
              <w:t>4</w:t>
            </w:r>
            <w:r w:rsidR="006238F7">
              <w:t xml:space="preserve">.- </w:t>
            </w:r>
            <w:r w:rsidR="006238F7" w:rsidRPr="006238F7">
              <w:t>Solici</w:t>
            </w:r>
            <w:r w:rsidR="006238F7">
              <w:t>t</w:t>
            </w:r>
            <w:r w:rsidR="006238F7" w:rsidRPr="006238F7">
              <w:t>ar al ganadero el registro ante el SAT</w:t>
            </w:r>
            <w:r w:rsidR="00205B10">
              <w:t>; b.5</w:t>
            </w:r>
            <w:r w:rsidR="006238F7">
              <w:t xml:space="preserve">.- </w:t>
            </w:r>
            <w:r w:rsidR="006238F7" w:rsidRPr="006238F7">
              <w:t>Inscripción a la Campaña Zoosanitaria</w:t>
            </w:r>
            <w:r w:rsidR="004D3D47">
              <w:t>;</w:t>
            </w:r>
            <w:r w:rsidR="00205B10">
              <w:t xml:space="preserve"> b.6</w:t>
            </w:r>
            <w:r w:rsidR="006238F7">
              <w:t xml:space="preserve">.- </w:t>
            </w:r>
            <w:r w:rsidR="006238F7" w:rsidRPr="006238F7">
              <w:t xml:space="preserve">Tramite de la </w:t>
            </w:r>
            <w:r w:rsidR="004D3D47" w:rsidRPr="006238F7">
              <w:t>papelería</w:t>
            </w:r>
            <w:r w:rsidR="006238F7" w:rsidRPr="006238F7">
              <w:t xml:space="preserve"> oficial y tuberculina en SAGARPA Y SENASICA</w:t>
            </w:r>
            <w:r w:rsidR="004D3D47">
              <w:t>;</w:t>
            </w:r>
            <w:r w:rsidR="006238F7">
              <w:t xml:space="preserve"> </w:t>
            </w:r>
            <w:r w:rsidR="00205B10">
              <w:t>b.7</w:t>
            </w:r>
            <w:r w:rsidR="004D3D47">
              <w:t xml:space="preserve">.- </w:t>
            </w:r>
            <w:r w:rsidR="004D3D47" w:rsidRPr="004D3D47">
              <w:t>Toma de muestras sanguíneas, llevar a laboratorio y obtención de resultados</w:t>
            </w:r>
            <w:r w:rsidR="004D3D47">
              <w:t>;</w:t>
            </w:r>
            <w:r w:rsidR="004D3D47" w:rsidRPr="004D3D47">
              <w:t xml:space="preserve"> </w:t>
            </w:r>
            <w:r w:rsidR="000E4672">
              <w:t xml:space="preserve"> </w:t>
            </w:r>
            <w:r w:rsidR="00205B10">
              <w:t>b.8</w:t>
            </w:r>
            <w:r w:rsidR="004D3D47">
              <w:t>. E</w:t>
            </w:r>
            <w:r w:rsidR="004D3D47" w:rsidRPr="004D3D47">
              <w:t>laboración de dictámenes</w:t>
            </w:r>
            <w:r w:rsidR="00854019">
              <w:t xml:space="preserve"> a </w:t>
            </w:r>
            <w:r w:rsidR="00854019" w:rsidRPr="00854019">
              <w:rPr>
                <w:i/>
              </w:rPr>
              <w:t>bru</w:t>
            </w:r>
            <w:r w:rsidR="004D3D47" w:rsidRPr="00854019">
              <w:rPr>
                <w:i/>
              </w:rPr>
              <w:t>cel</w:t>
            </w:r>
            <w:r w:rsidR="00854019" w:rsidRPr="00854019">
              <w:rPr>
                <w:i/>
              </w:rPr>
              <w:t>l</w:t>
            </w:r>
            <w:r w:rsidR="004D3D47" w:rsidRPr="00854019">
              <w:rPr>
                <w:i/>
              </w:rPr>
              <w:t>a</w:t>
            </w:r>
            <w:r w:rsidR="004D3D47">
              <w:t xml:space="preserve"> y Tuberculosis</w:t>
            </w:r>
            <w:r w:rsidR="000E4672">
              <w:t xml:space="preserve">; </w:t>
            </w:r>
            <w:r w:rsidR="00205B10">
              <w:t>b.9</w:t>
            </w:r>
            <w:r w:rsidR="000E4672">
              <w:t>.- Dictámenes de hato libre; b.</w:t>
            </w:r>
            <w:r w:rsidR="00247DE6">
              <w:t>10</w:t>
            </w:r>
            <w:r w:rsidR="000E4672">
              <w:t xml:space="preserve">.- </w:t>
            </w:r>
            <w:r w:rsidR="000E4672" w:rsidRPr="000E4672">
              <w:t xml:space="preserve">Presentar orden del sacrificio </w:t>
            </w:r>
            <w:r w:rsidR="000E4672">
              <w:t xml:space="preserve">del rumiante reactor y/ positivo </w:t>
            </w:r>
            <w:r w:rsidR="000E4672" w:rsidRPr="000E4672">
              <w:t>del rastro</w:t>
            </w:r>
            <w:r w:rsidR="00854019">
              <w:t xml:space="preserve"> y d</w:t>
            </w:r>
            <w:r w:rsidR="000E4672">
              <w:t>ictamen parcial o total del decomiso del animal sacrificado</w:t>
            </w:r>
            <w:r w:rsidR="00FC1B50">
              <w:t>; b.1</w:t>
            </w:r>
            <w:r w:rsidR="00247DE6">
              <w:t>1</w:t>
            </w:r>
            <w:r w:rsidR="00FC1B50">
              <w:t xml:space="preserve">.- Tramite y pago del apoyo </w:t>
            </w:r>
            <w:r w:rsidR="00854019">
              <w:t xml:space="preserve">por cabeza positiva a </w:t>
            </w:r>
            <w:r w:rsidR="00854019" w:rsidRPr="00854019">
              <w:rPr>
                <w:i/>
              </w:rPr>
              <w:t>bru</w:t>
            </w:r>
            <w:r w:rsidR="00B74B93" w:rsidRPr="00854019">
              <w:rPr>
                <w:i/>
              </w:rPr>
              <w:t>cel</w:t>
            </w:r>
            <w:r w:rsidR="00854019" w:rsidRPr="00854019">
              <w:rPr>
                <w:i/>
              </w:rPr>
              <w:t>l</w:t>
            </w:r>
            <w:r w:rsidR="00B74B93" w:rsidRPr="00854019">
              <w:rPr>
                <w:i/>
              </w:rPr>
              <w:t>a</w:t>
            </w:r>
            <w:r w:rsidR="00B74B93">
              <w:t xml:space="preserve"> y tuberculosis, para </w:t>
            </w:r>
            <w:r w:rsidR="00FC1B50">
              <w:t xml:space="preserve">la repoblación de los Hatos ante </w:t>
            </w:r>
            <w:r w:rsidR="007D2AF5">
              <w:t>la COEETB</w:t>
            </w:r>
            <w:r w:rsidR="00FC1B50">
              <w:t xml:space="preserve"> y H. Ayuntamiento Municipal de San Pedro Tlaquepaque.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B74B93" w:rsidP="005461F3">
            <w:pPr>
              <w:jc w:val="center"/>
            </w:pPr>
            <w:r>
              <w:t>2</w:t>
            </w:r>
            <w:r w:rsidR="003A7043">
              <w:t>,</w:t>
            </w:r>
            <w:r>
              <w:t>00</w:t>
            </w:r>
            <w:r w:rsidR="003A7043">
              <w:t>0</w:t>
            </w:r>
            <w:r>
              <w:t xml:space="preserve"> cabezas</w:t>
            </w:r>
            <w:r w:rsidR="00BD69FA">
              <w:t xml:space="preserve"> de ganado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3A7043" w:rsidP="005461F3">
            <w:pPr>
              <w:jc w:val="center"/>
            </w:pPr>
            <w:r>
              <w:t>1,000</w:t>
            </w:r>
            <w:r w:rsidR="00B74B93">
              <w:t xml:space="preserve"> cabezas</w:t>
            </w:r>
            <w:r w:rsidR="00BD69FA">
              <w:t xml:space="preserve"> de ganado</w:t>
            </w:r>
          </w:p>
        </w:tc>
        <w:tc>
          <w:tcPr>
            <w:tcW w:w="1190" w:type="pct"/>
            <w:shd w:val="clear" w:color="auto" w:fill="auto"/>
          </w:tcPr>
          <w:p w:rsidR="0003322C" w:rsidRDefault="00BD69FA" w:rsidP="005461F3">
            <w:pPr>
              <w:jc w:val="center"/>
            </w:pPr>
            <w:r>
              <w:t>1</w:t>
            </w:r>
            <w:r w:rsidR="00B74B93">
              <w:t>,000 cabezas</w:t>
            </w:r>
            <w:r>
              <w:t xml:space="preserve"> de ganado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02056" w:rsidP="00402056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32227D" w:rsidP="00506A61">
            <w:pPr>
              <w:jc w:val="center"/>
            </w:pPr>
            <w:r>
              <w:t>2, 000 cabezas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084387" w:rsidP="00506A61">
            <w:pPr>
              <w:jc w:val="both"/>
            </w:pPr>
            <w:r w:rsidRPr="00084387">
              <w:t>Número de  cabezas muestreadas</w:t>
            </w:r>
            <w:bookmarkStart w:id="0" w:name="_GoBack"/>
            <w:bookmarkEnd w:id="0"/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32227D" w:rsidP="004A06C5">
            <w:pPr>
              <w:jc w:val="both"/>
            </w:pPr>
            <w:r>
              <w:t>(# de cabezas/total del hato)100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6238F7" w:rsidRDefault="006238F7"/>
    <w:p w:rsidR="006238F7" w:rsidRDefault="006238F7"/>
    <w:p w:rsidR="006238F7" w:rsidRDefault="006238F7"/>
    <w:p w:rsidR="006238F7" w:rsidRDefault="006238F7"/>
    <w:p w:rsidR="006238F7" w:rsidRDefault="006238F7"/>
    <w:p w:rsidR="006238F7" w:rsidRDefault="006238F7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06"/>
        <w:gridCol w:w="593"/>
        <w:gridCol w:w="548"/>
        <w:gridCol w:w="663"/>
        <w:gridCol w:w="597"/>
        <w:gridCol w:w="656"/>
        <w:gridCol w:w="579"/>
        <w:gridCol w:w="539"/>
        <w:gridCol w:w="639"/>
        <w:gridCol w:w="545"/>
        <w:gridCol w:w="591"/>
        <w:gridCol w:w="663"/>
        <w:gridCol w:w="549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4D3D47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9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4D3D47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05B10" w:rsidTr="004D3D47">
        <w:trPr>
          <w:trHeight w:val="312"/>
        </w:trPr>
        <w:tc>
          <w:tcPr>
            <w:tcW w:w="0" w:type="auto"/>
            <w:shd w:val="clear" w:color="auto" w:fill="auto"/>
          </w:tcPr>
          <w:p w:rsidR="00205B10" w:rsidRDefault="00205B10" w:rsidP="00973944">
            <w:pPr>
              <w:jc w:val="both"/>
            </w:pPr>
            <w:r>
              <w:t xml:space="preserve">b.1.- </w:t>
            </w:r>
            <w:r w:rsidRPr="006238F7">
              <w:t xml:space="preserve">Solicitar </w:t>
            </w:r>
            <w:r>
              <w:t xml:space="preserve">Presupuesto </w:t>
            </w:r>
            <w:r w:rsidR="00BD69FA">
              <w:t xml:space="preserve">por un monto de </w:t>
            </w:r>
            <w:r w:rsidR="005D18AC">
              <w:br/>
              <w:t>$</w:t>
            </w:r>
            <w:r w:rsidR="00973944">
              <w:t>636</w:t>
            </w:r>
            <w:r w:rsidR="00BD69FA">
              <w:t>,</w:t>
            </w:r>
            <w:r w:rsidR="00973944">
              <w:t>25</w:t>
            </w:r>
            <w:r w:rsidR="00BD69FA">
              <w:t>2.0</w:t>
            </w:r>
            <w:r w:rsidR="005D18AC">
              <w:t>0</w:t>
            </w:r>
            <w:r w:rsidR="00BD69FA">
              <w:t xml:space="preserve"> para </w:t>
            </w:r>
            <w:r w:rsidR="005D18AC">
              <w:t>material (tubos, j</w:t>
            </w:r>
            <w:r w:rsidRPr="006238F7">
              <w:t>eringas</w:t>
            </w:r>
            <w:r>
              <w:t xml:space="preserve">, </w:t>
            </w:r>
            <w:r w:rsidRPr="006238F7">
              <w:t>agujas</w:t>
            </w:r>
            <w:r>
              <w:t xml:space="preserve">, </w:t>
            </w:r>
            <w:r w:rsidR="005D18AC">
              <w:t>v</w:t>
            </w:r>
            <w:r w:rsidR="00B74B93">
              <w:t>ehículo</w:t>
            </w:r>
            <w:r w:rsidR="00973944">
              <w:t>, combustible</w:t>
            </w:r>
            <w:r w:rsidR="005D18AC">
              <w:t xml:space="preserve"> y a</w:t>
            </w:r>
            <w:r>
              <w:t>poyo para la repoblación de los Hatos</w:t>
            </w:r>
            <w:r w:rsidRPr="006238F7">
              <w:t>)</w:t>
            </w:r>
          </w:p>
        </w:tc>
        <w:tc>
          <w:tcPr>
            <w:tcW w:w="240" w:type="pct"/>
            <w:shd w:val="clear" w:color="auto" w:fill="auto"/>
          </w:tcPr>
          <w:p w:rsidR="00205B10" w:rsidRPr="004D3D47" w:rsidRDefault="00205B10" w:rsidP="004E1777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  <w:r w:rsidRPr="004D3D47">
              <w:t>X</w:t>
            </w:r>
            <w:r>
              <w:t xml:space="preserve"> 2016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4E1777">
            <w:pPr>
              <w:jc w:val="center"/>
              <w:rPr>
                <w:sz w:val="20"/>
              </w:rPr>
            </w:pPr>
          </w:p>
        </w:tc>
      </w:tr>
      <w:tr w:rsidR="00205B10" w:rsidTr="004D3D47">
        <w:trPr>
          <w:trHeight w:val="312"/>
        </w:trPr>
        <w:tc>
          <w:tcPr>
            <w:tcW w:w="0" w:type="auto"/>
            <w:shd w:val="clear" w:color="auto" w:fill="auto"/>
          </w:tcPr>
          <w:p w:rsidR="00205B10" w:rsidRDefault="00205B10" w:rsidP="00205B10">
            <w:r>
              <w:t>b.2.- Implementación de la campaña zoosanitaria</w:t>
            </w:r>
          </w:p>
        </w:tc>
        <w:tc>
          <w:tcPr>
            <w:tcW w:w="240" w:type="pct"/>
            <w:shd w:val="clear" w:color="auto" w:fill="auto"/>
          </w:tcPr>
          <w:p w:rsidR="00205B10" w:rsidRPr="004D3D47" w:rsidRDefault="00205B10" w:rsidP="00205B10">
            <w:pPr>
              <w:jc w:val="center"/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5D18AC" w:rsidP="00205B1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5D18AC" w:rsidP="00205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05B10" w:rsidTr="00FC1B50">
        <w:trPr>
          <w:trHeight w:val="312"/>
        </w:trPr>
        <w:tc>
          <w:tcPr>
            <w:tcW w:w="0" w:type="auto"/>
            <w:shd w:val="clear" w:color="auto" w:fill="auto"/>
          </w:tcPr>
          <w:p w:rsidR="00205B10" w:rsidRPr="00A316F5" w:rsidRDefault="00205B10" w:rsidP="001C5223">
            <w:pPr>
              <w:jc w:val="both"/>
            </w:pPr>
            <w:r>
              <w:t xml:space="preserve">b.3.- </w:t>
            </w:r>
            <w:r w:rsidRPr="006238F7">
              <w:t xml:space="preserve">Solicitar al </w:t>
            </w:r>
            <w:r w:rsidR="005D18AC">
              <w:t>ganadero los registros de l</w:t>
            </w:r>
            <w:r w:rsidRPr="006238F7">
              <w:t>a UPP ante la Unión Ganadera Regional de Jalisco, SIINIGA</w:t>
            </w:r>
          </w:p>
        </w:tc>
        <w:tc>
          <w:tcPr>
            <w:tcW w:w="24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  <w:tr w:rsidR="00205B10" w:rsidTr="00FC1B50">
        <w:trPr>
          <w:trHeight w:val="288"/>
        </w:trPr>
        <w:tc>
          <w:tcPr>
            <w:tcW w:w="0" w:type="auto"/>
            <w:shd w:val="clear" w:color="auto" w:fill="auto"/>
          </w:tcPr>
          <w:p w:rsidR="00205B10" w:rsidRPr="00A316F5" w:rsidRDefault="00205B10" w:rsidP="00205B10">
            <w:r>
              <w:t xml:space="preserve">b.4.- </w:t>
            </w:r>
            <w:r w:rsidRPr="006238F7">
              <w:t>Solici</w:t>
            </w:r>
            <w:r>
              <w:t>t</w:t>
            </w:r>
            <w:r w:rsidRPr="006238F7">
              <w:t>ar al ganadero el registro ante el SAT</w:t>
            </w:r>
          </w:p>
        </w:tc>
        <w:tc>
          <w:tcPr>
            <w:tcW w:w="24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  <w:tr w:rsidR="00205B10" w:rsidTr="00FC1B50">
        <w:trPr>
          <w:trHeight w:val="288"/>
        </w:trPr>
        <w:tc>
          <w:tcPr>
            <w:tcW w:w="0" w:type="auto"/>
            <w:shd w:val="clear" w:color="auto" w:fill="auto"/>
          </w:tcPr>
          <w:p w:rsidR="00205B10" w:rsidRPr="00A316F5" w:rsidRDefault="00205B10" w:rsidP="00205B10">
            <w:r>
              <w:t xml:space="preserve">b.5.- </w:t>
            </w:r>
            <w:r w:rsidRPr="006238F7">
              <w:t>Inscripción a la Campaña Zoosanitaria</w:t>
            </w:r>
          </w:p>
        </w:tc>
        <w:tc>
          <w:tcPr>
            <w:tcW w:w="24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  <w:tr w:rsidR="00205B10" w:rsidTr="00FC1B50">
        <w:trPr>
          <w:trHeight w:val="263"/>
        </w:trPr>
        <w:tc>
          <w:tcPr>
            <w:tcW w:w="0" w:type="auto"/>
            <w:shd w:val="clear" w:color="auto" w:fill="auto"/>
          </w:tcPr>
          <w:p w:rsidR="00205B10" w:rsidRPr="00A316F5" w:rsidRDefault="0032227D" w:rsidP="001C5223">
            <w:pPr>
              <w:jc w:val="both"/>
            </w:pPr>
            <w:r>
              <w:t>B.6.-Trámite</w:t>
            </w:r>
            <w:r w:rsidR="00205B10" w:rsidRPr="006238F7">
              <w:t xml:space="preserve"> de la papelería oficial y tuberculina en SAGARPA </w:t>
            </w:r>
            <w:r w:rsidR="001C5223">
              <w:t xml:space="preserve">, </w:t>
            </w:r>
            <w:r w:rsidR="00205B10" w:rsidRPr="006238F7">
              <w:t>SENASICA</w:t>
            </w:r>
            <w:r w:rsidR="001C5223">
              <w:t>, COEETB.</w:t>
            </w:r>
          </w:p>
        </w:tc>
        <w:tc>
          <w:tcPr>
            <w:tcW w:w="24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  <w:tr w:rsidR="00205B10" w:rsidTr="004D3D47">
        <w:trPr>
          <w:trHeight w:val="263"/>
        </w:trPr>
        <w:tc>
          <w:tcPr>
            <w:tcW w:w="0" w:type="auto"/>
            <w:shd w:val="clear" w:color="auto" w:fill="auto"/>
          </w:tcPr>
          <w:p w:rsidR="00205B10" w:rsidRPr="00A316F5" w:rsidRDefault="00205B10" w:rsidP="00205B10">
            <w:pPr>
              <w:jc w:val="both"/>
            </w:pPr>
            <w:r>
              <w:t xml:space="preserve">b.7.- </w:t>
            </w:r>
            <w:r w:rsidRPr="004D3D47">
              <w:t>Toma de muestras sanguíneas</w:t>
            </w:r>
            <w:r>
              <w:t xml:space="preserve"> consecutivas por año (2 a ganado de carne y 3 a ganado lechero)</w:t>
            </w:r>
            <w:r w:rsidRPr="004D3D47">
              <w:t>, llevar a laboratorio y obtención de resultados</w:t>
            </w:r>
          </w:p>
        </w:tc>
        <w:tc>
          <w:tcPr>
            <w:tcW w:w="240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  <w:tr w:rsidR="00205B10" w:rsidTr="004D3D47">
        <w:trPr>
          <w:trHeight w:val="263"/>
        </w:trPr>
        <w:tc>
          <w:tcPr>
            <w:tcW w:w="0" w:type="auto"/>
            <w:shd w:val="clear" w:color="auto" w:fill="auto"/>
          </w:tcPr>
          <w:p w:rsidR="00205B10" w:rsidRPr="00A316F5" w:rsidRDefault="00205B10" w:rsidP="00205B10">
            <w:pPr>
              <w:jc w:val="both"/>
            </w:pPr>
            <w:r>
              <w:t>b.8. E</w:t>
            </w:r>
            <w:r w:rsidRPr="004D3D47">
              <w:t>laboración de dictámenes</w:t>
            </w:r>
            <w:r w:rsidR="0031427A">
              <w:t xml:space="preserve"> a </w:t>
            </w:r>
            <w:r w:rsidR="0031427A" w:rsidRPr="0031427A">
              <w:rPr>
                <w:i/>
              </w:rPr>
              <w:t>bru</w:t>
            </w:r>
            <w:r w:rsidRPr="0031427A">
              <w:rPr>
                <w:i/>
              </w:rPr>
              <w:t>ce</w:t>
            </w:r>
            <w:r w:rsidR="0031427A" w:rsidRPr="0031427A">
              <w:rPr>
                <w:i/>
              </w:rPr>
              <w:t>l</w:t>
            </w:r>
            <w:r w:rsidRPr="0031427A">
              <w:rPr>
                <w:i/>
              </w:rPr>
              <w:t>la</w:t>
            </w:r>
            <w:r>
              <w:t xml:space="preserve"> y Tuberculosis</w:t>
            </w:r>
          </w:p>
        </w:tc>
        <w:tc>
          <w:tcPr>
            <w:tcW w:w="24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  <w:tr w:rsidR="00205B10" w:rsidTr="004D3D47">
        <w:trPr>
          <w:trHeight w:val="263"/>
        </w:trPr>
        <w:tc>
          <w:tcPr>
            <w:tcW w:w="0" w:type="auto"/>
            <w:shd w:val="clear" w:color="auto" w:fill="auto"/>
          </w:tcPr>
          <w:p w:rsidR="00205B10" w:rsidRPr="00A316F5" w:rsidRDefault="0031427A" w:rsidP="00205B10">
            <w:r>
              <w:t>b.9.- Dictámenes de H</w:t>
            </w:r>
            <w:r w:rsidR="00205B10">
              <w:t>ato libre</w:t>
            </w:r>
          </w:p>
        </w:tc>
        <w:tc>
          <w:tcPr>
            <w:tcW w:w="24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  <w:tr w:rsidR="00205B10" w:rsidTr="004D3D47">
        <w:trPr>
          <w:trHeight w:val="263"/>
        </w:trPr>
        <w:tc>
          <w:tcPr>
            <w:tcW w:w="0" w:type="auto"/>
            <w:shd w:val="clear" w:color="auto" w:fill="auto"/>
          </w:tcPr>
          <w:p w:rsidR="00205B10" w:rsidRPr="00A316F5" w:rsidRDefault="00205B10" w:rsidP="00205B10">
            <w:pPr>
              <w:jc w:val="both"/>
            </w:pPr>
            <w:r>
              <w:t xml:space="preserve">b.10.- </w:t>
            </w:r>
            <w:r w:rsidRPr="000E4672">
              <w:t xml:space="preserve">Presentar orden del sacrificio </w:t>
            </w:r>
            <w:r>
              <w:t>del rumiante reactor y/</w:t>
            </w:r>
            <w:r w:rsidR="0031427A">
              <w:t>o</w:t>
            </w:r>
            <w:r>
              <w:t xml:space="preserve"> positivo </w:t>
            </w:r>
            <w:r w:rsidRPr="000E4672">
              <w:t>del rastro</w:t>
            </w:r>
            <w:r w:rsidR="0031427A">
              <w:t xml:space="preserve"> y d</w:t>
            </w:r>
            <w:r>
              <w:t>ictamen parcial o total del decomiso del animal sacrificado</w:t>
            </w:r>
          </w:p>
        </w:tc>
        <w:tc>
          <w:tcPr>
            <w:tcW w:w="240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  <w:tr w:rsidR="00205B10" w:rsidTr="004D3D47">
        <w:trPr>
          <w:trHeight w:val="281"/>
        </w:trPr>
        <w:tc>
          <w:tcPr>
            <w:tcW w:w="0" w:type="auto"/>
            <w:shd w:val="clear" w:color="auto" w:fill="auto"/>
          </w:tcPr>
          <w:p w:rsidR="00205B10" w:rsidRPr="00A316F5" w:rsidRDefault="00205B10" w:rsidP="00205B10">
            <w:pPr>
              <w:jc w:val="both"/>
            </w:pPr>
            <w:r>
              <w:t>b.11.- Tramite y pago del apoyo a la repoblación de los Hatos ante el SIINIGA y H. Ayuntamiento Municipal de San Pedro Tlaquepaque</w:t>
            </w:r>
          </w:p>
        </w:tc>
        <w:tc>
          <w:tcPr>
            <w:tcW w:w="240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41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5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4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1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5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0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39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68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  <w:tc>
          <w:tcPr>
            <w:tcW w:w="222" w:type="pct"/>
            <w:shd w:val="clear" w:color="auto" w:fill="auto"/>
          </w:tcPr>
          <w:p w:rsidR="00205B10" w:rsidRDefault="00205B10" w:rsidP="00205B10">
            <w:pPr>
              <w:jc w:val="center"/>
            </w:pPr>
          </w:p>
          <w:p w:rsidR="00205B10" w:rsidRPr="00145F76" w:rsidRDefault="00205B10" w:rsidP="00205B10">
            <w:pPr>
              <w:jc w:val="center"/>
              <w:rPr>
                <w:sz w:val="20"/>
              </w:rPr>
            </w:pPr>
            <w:r w:rsidRPr="004D3D47">
              <w:t>X</w:t>
            </w:r>
          </w:p>
        </w:tc>
      </w:tr>
    </w:tbl>
    <w:p w:rsidR="007031DE" w:rsidRPr="00FC1B50" w:rsidRDefault="00FC1B50" w:rsidP="00212E94">
      <w:pPr>
        <w:rPr>
          <w:b/>
          <w:i/>
          <w:sz w:val="16"/>
        </w:rPr>
      </w:pPr>
      <w:r w:rsidRPr="00FC1B50">
        <w:rPr>
          <w:b/>
          <w:i/>
        </w:rPr>
        <w:t>Nota: Los tipos de prueba que se llevan a cabo son</w:t>
      </w:r>
      <w:r w:rsidR="008314A8" w:rsidRPr="00FC1B50">
        <w:rPr>
          <w:b/>
          <w:i/>
        </w:rPr>
        <w:t>:</w:t>
      </w:r>
      <w:r w:rsidR="008314A8" w:rsidRPr="00FC1B50">
        <w:rPr>
          <w:b/>
          <w:i/>
          <w:sz w:val="16"/>
        </w:rPr>
        <w:t xml:space="preserve"> </w:t>
      </w:r>
      <w:r w:rsidR="008314A8" w:rsidRPr="008314A8">
        <w:rPr>
          <w:b/>
          <w:i/>
        </w:rPr>
        <w:t>Tarjeta</w:t>
      </w:r>
      <w:r w:rsidRPr="008314A8">
        <w:rPr>
          <w:b/>
          <w:i/>
        </w:rPr>
        <w:t>,</w:t>
      </w:r>
      <w:r w:rsidRPr="00FC1B50">
        <w:rPr>
          <w:b/>
          <w:i/>
        </w:rPr>
        <w:t xml:space="preserve"> Rivanol y tacto</w:t>
      </w:r>
    </w:p>
    <w:p w:rsidR="00BD69FA" w:rsidRDefault="00BD69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BD69FA" w:rsidRDefault="00BD69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BD69FA" w:rsidRDefault="00BD69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BD69FA" w:rsidRDefault="00BD69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BD69FA" w:rsidRDefault="00BD69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BD69FA" w:rsidRDefault="00BD69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BD69FA" w:rsidRDefault="00BD69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BD69FA" w:rsidRDefault="00BD69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FC1B50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1B50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1B50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C1B50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C1B50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FC1B50" w:rsidRPr="00FF63B4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1427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8112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Monto total del </w:t>
            </w:r>
            <w:r w:rsidR="008112D1">
              <w:rPr>
                <w:rFonts w:ascii="Arial" w:hAnsi="Arial" w:cs="Arial"/>
                <w:sz w:val="18"/>
                <w:szCs w:val="20"/>
              </w:rPr>
              <w:t xml:space="preserve">Recurso </w:t>
            </w:r>
            <w:r w:rsidRPr="00FF63B4">
              <w:rPr>
                <w:rFonts w:ascii="Arial" w:hAnsi="Arial" w:cs="Arial"/>
                <w:sz w:val="18"/>
                <w:szCs w:val="20"/>
              </w:rPr>
              <w:t>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31427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Gasolina 160 Lt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1427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C1B50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C1B5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31427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BD69FA">
      <w:pPr>
        <w:rPr>
          <w:i/>
          <w:sz w:val="16"/>
        </w:rPr>
      </w:pPr>
    </w:p>
    <w:sectPr w:rsidR="0042122F" w:rsidSect="00BD69FA">
      <w:pgSz w:w="15840" w:h="12240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4A" w:rsidRDefault="0045274A" w:rsidP="00831F7E">
      <w:pPr>
        <w:spacing w:after="0" w:line="240" w:lineRule="auto"/>
      </w:pPr>
      <w:r>
        <w:separator/>
      </w:r>
    </w:p>
  </w:endnote>
  <w:endnote w:type="continuationSeparator" w:id="0">
    <w:p w:rsidR="0045274A" w:rsidRDefault="0045274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4A" w:rsidRDefault="0045274A" w:rsidP="00831F7E">
      <w:pPr>
        <w:spacing w:after="0" w:line="240" w:lineRule="auto"/>
      </w:pPr>
      <w:r>
        <w:separator/>
      </w:r>
    </w:p>
  </w:footnote>
  <w:footnote w:type="continuationSeparator" w:id="0">
    <w:p w:rsidR="0045274A" w:rsidRDefault="0045274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3769F"/>
    <w:rsid w:val="000473B9"/>
    <w:rsid w:val="00047523"/>
    <w:rsid w:val="00077A68"/>
    <w:rsid w:val="00084387"/>
    <w:rsid w:val="00094BAF"/>
    <w:rsid w:val="000C70C7"/>
    <w:rsid w:val="000D0701"/>
    <w:rsid w:val="000D5483"/>
    <w:rsid w:val="000D76A0"/>
    <w:rsid w:val="000E4672"/>
    <w:rsid w:val="000F14EB"/>
    <w:rsid w:val="00115B5F"/>
    <w:rsid w:val="00120005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C5223"/>
    <w:rsid w:val="001D4E0E"/>
    <w:rsid w:val="001F5482"/>
    <w:rsid w:val="001F5B4A"/>
    <w:rsid w:val="00205B10"/>
    <w:rsid w:val="00212E94"/>
    <w:rsid w:val="0021498C"/>
    <w:rsid w:val="0022207C"/>
    <w:rsid w:val="00241008"/>
    <w:rsid w:val="00244BBA"/>
    <w:rsid w:val="002479EB"/>
    <w:rsid w:val="00247DE6"/>
    <w:rsid w:val="00264CD1"/>
    <w:rsid w:val="0028035E"/>
    <w:rsid w:val="00283259"/>
    <w:rsid w:val="0029738E"/>
    <w:rsid w:val="002A7E96"/>
    <w:rsid w:val="002B2543"/>
    <w:rsid w:val="002C48EE"/>
    <w:rsid w:val="002E08B6"/>
    <w:rsid w:val="0031427A"/>
    <w:rsid w:val="0032227D"/>
    <w:rsid w:val="00354265"/>
    <w:rsid w:val="0035529E"/>
    <w:rsid w:val="0038034B"/>
    <w:rsid w:val="00393FB9"/>
    <w:rsid w:val="003978F6"/>
    <w:rsid w:val="00397EAD"/>
    <w:rsid w:val="003A159C"/>
    <w:rsid w:val="003A7043"/>
    <w:rsid w:val="003C3FD5"/>
    <w:rsid w:val="003F1857"/>
    <w:rsid w:val="00402056"/>
    <w:rsid w:val="00412C63"/>
    <w:rsid w:val="00414D92"/>
    <w:rsid w:val="00415510"/>
    <w:rsid w:val="0042122F"/>
    <w:rsid w:val="0043258A"/>
    <w:rsid w:val="0045274A"/>
    <w:rsid w:val="004840BF"/>
    <w:rsid w:val="00485EB9"/>
    <w:rsid w:val="004A06C5"/>
    <w:rsid w:val="004B17E0"/>
    <w:rsid w:val="004D3D47"/>
    <w:rsid w:val="004D73DA"/>
    <w:rsid w:val="004E1777"/>
    <w:rsid w:val="004E5503"/>
    <w:rsid w:val="00503AC9"/>
    <w:rsid w:val="00506A61"/>
    <w:rsid w:val="00507023"/>
    <w:rsid w:val="005132E8"/>
    <w:rsid w:val="00541F08"/>
    <w:rsid w:val="00542487"/>
    <w:rsid w:val="005461F3"/>
    <w:rsid w:val="005478E1"/>
    <w:rsid w:val="005526A9"/>
    <w:rsid w:val="00555E22"/>
    <w:rsid w:val="00556712"/>
    <w:rsid w:val="005608FF"/>
    <w:rsid w:val="00571D3D"/>
    <w:rsid w:val="005732E8"/>
    <w:rsid w:val="005739F5"/>
    <w:rsid w:val="00597192"/>
    <w:rsid w:val="0059788D"/>
    <w:rsid w:val="005A4501"/>
    <w:rsid w:val="005A48A2"/>
    <w:rsid w:val="005B6A6B"/>
    <w:rsid w:val="005B7B26"/>
    <w:rsid w:val="005C6958"/>
    <w:rsid w:val="005D18AC"/>
    <w:rsid w:val="005D6B0E"/>
    <w:rsid w:val="005E58EB"/>
    <w:rsid w:val="005F04CD"/>
    <w:rsid w:val="006235EC"/>
    <w:rsid w:val="006238F7"/>
    <w:rsid w:val="00623BB6"/>
    <w:rsid w:val="00640878"/>
    <w:rsid w:val="00650F82"/>
    <w:rsid w:val="00663511"/>
    <w:rsid w:val="006637AB"/>
    <w:rsid w:val="00663E7F"/>
    <w:rsid w:val="00672154"/>
    <w:rsid w:val="00672CDE"/>
    <w:rsid w:val="0068316A"/>
    <w:rsid w:val="00684529"/>
    <w:rsid w:val="00691B6A"/>
    <w:rsid w:val="00697266"/>
    <w:rsid w:val="006C4E80"/>
    <w:rsid w:val="006E48D8"/>
    <w:rsid w:val="006F0539"/>
    <w:rsid w:val="006F1A5C"/>
    <w:rsid w:val="00700C4B"/>
    <w:rsid w:val="007031DE"/>
    <w:rsid w:val="007208A4"/>
    <w:rsid w:val="00741539"/>
    <w:rsid w:val="00762157"/>
    <w:rsid w:val="00775E30"/>
    <w:rsid w:val="00794ACD"/>
    <w:rsid w:val="007D2AF5"/>
    <w:rsid w:val="007E1B4E"/>
    <w:rsid w:val="00803C8A"/>
    <w:rsid w:val="008112D1"/>
    <w:rsid w:val="008314A8"/>
    <w:rsid w:val="00831976"/>
    <w:rsid w:val="00831F7E"/>
    <w:rsid w:val="00854019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47A7E"/>
    <w:rsid w:val="0095054C"/>
    <w:rsid w:val="009704AA"/>
    <w:rsid w:val="00973944"/>
    <w:rsid w:val="00992D78"/>
    <w:rsid w:val="009B06DF"/>
    <w:rsid w:val="009B17BA"/>
    <w:rsid w:val="009C363D"/>
    <w:rsid w:val="009D5BF2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8320F"/>
    <w:rsid w:val="00AA4922"/>
    <w:rsid w:val="00AB52C1"/>
    <w:rsid w:val="00AD4ED4"/>
    <w:rsid w:val="00AD667C"/>
    <w:rsid w:val="00AF641E"/>
    <w:rsid w:val="00AF730C"/>
    <w:rsid w:val="00B0077B"/>
    <w:rsid w:val="00B1501F"/>
    <w:rsid w:val="00B43361"/>
    <w:rsid w:val="00B44A80"/>
    <w:rsid w:val="00B71F35"/>
    <w:rsid w:val="00B74B93"/>
    <w:rsid w:val="00BD69FA"/>
    <w:rsid w:val="00BE28A4"/>
    <w:rsid w:val="00BE7BD1"/>
    <w:rsid w:val="00BF4795"/>
    <w:rsid w:val="00C12013"/>
    <w:rsid w:val="00C3208D"/>
    <w:rsid w:val="00C929AF"/>
    <w:rsid w:val="00CA700E"/>
    <w:rsid w:val="00CA7C94"/>
    <w:rsid w:val="00CC273B"/>
    <w:rsid w:val="00CC3142"/>
    <w:rsid w:val="00D22792"/>
    <w:rsid w:val="00D3511F"/>
    <w:rsid w:val="00D50738"/>
    <w:rsid w:val="00D714DC"/>
    <w:rsid w:val="00D773B1"/>
    <w:rsid w:val="00D805A0"/>
    <w:rsid w:val="00D81A12"/>
    <w:rsid w:val="00DA1F68"/>
    <w:rsid w:val="00DB0FA4"/>
    <w:rsid w:val="00DC13B1"/>
    <w:rsid w:val="00DF2B16"/>
    <w:rsid w:val="00DF3242"/>
    <w:rsid w:val="00E30C7A"/>
    <w:rsid w:val="00E32044"/>
    <w:rsid w:val="00E536B8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73002"/>
    <w:rsid w:val="00F8764B"/>
    <w:rsid w:val="00F94878"/>
    <w:rsid w:val="00FA0FEA"/>
    <w:rsid w:val="00FA4CA7"/>
    <w:rsid w:val="00FA5E7E"/>
    <w:rsid w:val="00FA722E"/>
    <w:rsid w:val="00FC1B50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B85D0-4BF0-40FF-A769-35AC77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2017-01-17T18:29:00Z</dcterms:created>
  <dcterms:modified xsi:type="dcterms:W3CDTF">2017-05-12T19:10:00Z</dcterms:modified>
</cp:coreProperties>
</file>