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page" w:tblpX="6064" w:tblpY="8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6327"/>
      </w:tblGrid>
      <w:tr w:rsidR="00195B59" w:rsidRPr="00A53525" w:rsidTr="00195B59">
        <w:trPr>
          <w:trHeight w:val="1346"/>
        </w:trPr>
        <w:tc>
          <w:tcPr>
            <w:tcW w:w="1651" w:type="dxa"/>
          </w:tcPr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7" w:type="dxa"/>
          </w:tcPr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Cs w:val="20"/>
              </w:rPr>
            </w:pPr>
          </w:p>
          <w:p w:rsidR="00195B59" w:rsidRPr="005D6B0E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Pr="005D6B0E">
              <w:rPr>
                <w:rFonts w:ascii="Arial" w:hAnsi="Arial" w:cs="Arial"/>
                <w:b/>
                <w:bCs/>
                <w:szCs w:val="20"/>
              </w:rPr>
              <w:t>DIRECCIÓN GENERAL DE POLÍTICAS PÚBLICAS</w:t>
            </w:r>
          </w:p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CARATULA PARA LA ELABORACIÓN DE PROYECTOS.</w:t>
            </w:r>
          </w:p>
        </w:tc>
      </w:tr>
    </w:tbl>
    <w:p w:rsidR="00195B59" w:rsidRDefault="00195B59" w:rsidP="0068316A">
      <w:pPr>
        <w:jc w:val="center"/>
        <w:rPr>
          <w:sz w:val="28"/>
        </w:rPr>
      </w:pPr>
    </w:p>
    <w:p w:rsidR="006F1A5C" w:rsidRDefault="00195B59" w:rsidP="0068316A">
      <w:pPr>
        <w:jc w:val="center"/>
        <w:rPr>
          <w:b/>
          <w:sz w:val="48"/>
        </w:rPr>
      </w:pPr>
      <w:r>
        <w:rPr>
          <w:rFonts w:ascii="Arial" w:hAnsi="Arial" w:cs="Arial"/>
          <w:b/>
          <w:bCs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260350</wp:posOffset>
            </wp:positionH>
            <wp:positionV relativeFrom="paragraph">
              <wp:posOffset>83185</wp:posOffset>
            </wp:positionV>
            <wp:extent cx="781050" cy="979805"/>
            <wp:effectExtent l="0" t="0" r="0" b="0"/>
            <wp:wrapThrough wrapText="bothSides">
              <wp:wrapPolygon edited="0">
                <wp:start x="0" y="0"/>
                <wp:lineTo x="0" y="20998"/>
                <wp:lineTo x="21073" y="20998"/>
                <wp:lineTo x="21073" y="0"/>
                <wp:lineTo x="0" y="0"/>
              </wp:wrapPolygon>
            </wp:wrapThrough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  </w:t>
      </w:r>
      <w:r w:rsidRPr="00212E94">
        <w:rPr>
          <w:b/>
          <w:sz w:val="48"/>
        </w:rPr>
        <w:t>ANEXO 1</w:t>
      </w:r>
    </w:p>
    <w:p w:rsidR="0095054C" w:rsidRPr="0095351C" w:rsidRDefault="00541F08" w:rsidP="0095351C">
      <w:pPr>
        <w:rPr>
          <w:b/>
          <w:sz w:val="48"/>
        </w:rPr>
      </w:pPr>
      <w:r>
        <w:rPr>
          <w:sz w:val="28"/>
        </w:rPr>
        <w:t xml:space="preserve">1.- </w:t>
      </w:r>
      <w:r w:rsidR="0068316A">
        <w:rPr>
          <w:sz w:val="28"/>
        </w:rP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4"/>
        <w:gridCol w:w="3090"/>
        <w:gridCol w:w="896"/>
        <w:gridCol w:w="897"/>
        <w:gridCol w:w="825"/>
        <w:gridCol w:w="946"/>
        <w:gridCol w:w="330"/>
        <w:gridCol w:w="542"/>
        <w:gridCol w:w="872"/>
      </w:tblGrid>
      <w:tr w:rsidR="00007BAF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>A)</w:t>
            </w:r>
            <w:r w:rsidR="00A00F82">
              <w:t xml:space="preserve">Nombre </w:t>
            </w:r>
            <w:r>
              <w:t>del programa/proyecto/servicio/campaña</w:t>
            </w:r>
          </w:p>
        </w:tc>
        <w:tc>
          <w:tcPr>
            <w:tcW w:w="6662" w:type="dxa"/>
            <w:gridSpan w:val="5"/>
          </w:tcPr>
          <w:p w:rsidR="00FA5E7E" w:rsidRDefault="00F94AD3" w:rsidP="00C53B7F">
            <w:pPr>
              <w:jc w:val="both"/>
            </w:pPr>
            <w:r>
              <w:t xml:space="preserve">Planeación y Administración de los recursos financieros, materiales y humanos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3C3CFD" w:rsidP="006F1A5C">
            <w:pPr>
              <w:jc w:val="both"/>
            </w:pPr>
            <w:r>
              <w:t>1</w:t>
            </w:r>
          </w:p>
        </w:tc>
      </w:tr>
      <w:tr w:rsidR="00007BAF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 xml:space="preserve">B) </w:t>
            </w:r>
            <w:r w:rsidR="00FA5E7E">
              <w:t xml:space="preserve">Dirección o </w:t>
            </w:r>
            <w:r>
              <w:t>Área</w:t>
            </w:r>
            <w:r w:rsidR="00A00F82">
              <w:t xml:space="preserve"> Responsable</w:t>
            </w:r>
          </w:p>
        </w:tc>
        <w:tc>
          <w:tcPr>
            <w:tcW w:w="6662" w:type="dxa"/>
            <w:gridSpan w:val="5"/>
          </w:tcPr>
          <w:p w:rsidR="00FA5E7E" w:rsidRDefault="00C53B7F" w:rsidP="006F1A5C">
            <w:pPr>
              <w:jc w:val="both"/>
            </w:pPr>
            <w:r>
              <w:t>Dir. Gral. Ser</w:t>
            </w:r>
            <w:r w:rsidR="00F94AD3">
              <w:t>v. Med. Mpales/ Dirección Administrativa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3C3CFD" w:rsidP="006F1A5C">
            <w:pPr>
              <w:jc w:val="both"/>
            </w:pPr>
            <w:r>
              <w:t>1.3</w:t>
            </w:r>
          </w:p>
        </w:tc>
      </w:tr>
      <w:tr w:rsidR="00007BAF" w:rsidTr="00195B59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>C)  Problemática que atiende la propuesta</w:t>
            </w:r>
          </w:p>
        </w:tc>
        <w:tc>
          <w:tcPr>
            <w:tcW w:w="6662" w:type="dxa"/>
            <w:gridSpan w:val="5"/>
            <w:vMerge w:val="restart"/>
          </w:tcPr>
          <w:p w:rsidR="00FA5E7E" w:rsidRDefault="00F94AD3" w:rsidP="0078123F">
            <w:pPr>
              <w:jc w:val="both"/>
            </w:pPr>
            <w:r>
              <w:t>Administración de los recursos públicos, financieros, materiales y humanos asignados a la dependencia, así como los servicios generales, mantenimiento y conservación de edificios públicos.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007BAF" w:rsidTr="00195B59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FA5E7E" w:rsidRDefault="00FA5E7E" w:rsidP="006F1A5C">
            <w:pPr>
              <w:jc w:val="both"/>
            </w:pPr>
          </w:p>
        </w:tc>
        <w:tc>
          <w:tcPr>
            <w:tcW w:w="6662" w:type="dxa"/>
            <w:gridSpan w:val="5"/>
            <w:vMerge/>
          </w:tcPr>
          <w:p w:rsidR="00FA5E7E" w:rsidRDefault="00FA5E7E" w:rsidP="006F1A5C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 w:rsidP="00C22A3F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007BAF" w:rsidTr="005608FF">
        <w:trPr>
          <w:trHeight w:val="498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D) Ubicación Geográfica / Cobertura  de Colonias</w:t>
            </w:r>
          </w:p>
        </w:tc>
        <w:tc>
          <w:tcPr>
            <w:tcW w:w="6662" w:type="dxa"/>
            <w:gridSpan w:val="5"/>
          </w:tcPr>
          <w:p w:rsidR="00A01DCA" w:rsidRDefault="00CF2FED" w:rsidP="006F1A5C">
            <w:pPr>
              <w:jc w:val="both"/>
            </w:pPr>
            <w:r>
              <w:t>Unidad Médica Marcos Montero Ruiz</w:t>
            </w:r>
            <w:r w:rsidR="00213EC1">
              <w:t xml:space="preserve">, Unidad </w:t>
            </w:r>
            <w:r w:rsidR="00512550">
              <w:t xml:space="preserve"> de Atención Básica </w:t>
            </w:r>
            <w:r w:rsidR="00213EC1">
              <w:t>La Guadalupana</w:t>
            </w:r>
            <w:r w:rsidR="00F94AD3">
              <w:t>, unidades periféricas de consulta externa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007BAF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E) Nombre del Enlace o Responsable</w:t>
            </w:r>
          </w:p>
        </w:tc>
        <w:tc>
          <w:tcPr>
            <w:tcW w:w="6662" w:type="dxa"/>
            <w:gridSpan w:val="5"/>
          </w:tcPr>
          <w:p w:rsidR="00A01DCA" w:rsidRDefault="00F94AD3" w:rsidP="005123AF">
            <w:pPr>
              <w:jc w:val="both"/>
            </w:pPr>
            <w:r>
              <w:t xml:space="preserve">LIC. JOAQUIN GAZQUE </w:t>
            </w:r>
            <w:r w:rsidR="00007BAF">
              <w:t xml:space="preserve"> AGUIRRE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007BAF" w:rsidTr="00195B59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F) Objetivo específico</w:t>
            </w:r>
          </w:p>
        </w:tc>
        <w:tc>
          <w:tcPr>
            <w:tcW w:w="6662" w:type="dxa"/>
            <w:gridSpan w:val="5"/>
          </w:tcPr>
          <w:p w:rsidR="00392920" w:rsidRDefault="00392920" w:rsidP="00392920">
            <w:pPr>
              <w:jc w:val="both"/>
              <w:rPr>
                <w:rFonts w:cs="Arial"/>
              </w:rPr>
            </w:pPr>
            <w:r w:rsidRPr="00392920">
              <w:rPr>
                <w:rFonts w:cs="Arial"/>
              </w:rPr>
              <w:t>Brindar servicios  integrales de salud, garantizando en la atención, servicios de calidad, eficientes y la se</w:t>
            </w:r>
            <w:r w:rsidR="00F94AD3">
              <w:rPr>
                <w:rFonts w:cs="Arial"/>
              </w:rPr>
              <w:t>guridad para nuestros pacientes, y</w:t>
            </w:r>
          </w:p>
          <w:p w:rsidR="00F94AD3" w:rsidRDefault="00F94AD3" w:rsidP="00392920">
            <w:pPr>
              <w:jc w:val="both"/>
              <w:rPr>
                <w:rFonts w:cs="Arial"/>
              </w:rPr>
            </w:pPr>
          </w:p>
          <w:p w:rsidR="00A01DCA" w:rsidRDefault="00F94AD3" w:rsidP="00F94AD3">
            <w:pPr>
              <w:jc w:val="both"/>
            </w:pPr>
            <w:r w:rsidRPr="00787617">
              <w:rPr>
                <w:rFonts w:cs="Arial"/>
                <w:highlight w:val="yellow"/>
              </w:rPr>
              <w:t>Administrar eficientemente los recursos financieros asignados y que se obtengan por conceptos de cuotas de recuperación y pago de servicios vía los fideicomisos públicos de la Secretaría de Salud, garantizando que parte de dichos recursos serán asignados a la modernización, equipamiento y conservación de las Unidades.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PMetD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007BAF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 xml:space="preserve">G) </w:t>
            </w:r>
            <w:r w:rsidR="00FA5E7E">
              <w:t>Perfil de la población atendida o beneficiarios</w:t>
            </w:r>
          </w:p>
        </w:tc>
        <w:tc>
          <w:tcPr>
            <w:tcW w:w="9356" w:type="dxa"/>
            <w:gridSpan w:val="9"/>
          </w:tcPr>
          <w:p w:rsidR="00FA5E7E" w:rsidRDefault="00C53B7F" w:rsidP="00885259">
            <w:pPr>
              <w:jc w:val="both"/>
            </w:pPr>
            <w:r>
              <w:t>Personas que no pertenecen a ningún régimen de seguridad social, personas de bajos recursos y personas siniestradas en el territorio municipal</w:t>
            </w:r>
          </w:p>
        </w:tc>
      </w:tr>
      <w:tr w:rsidR="00007BAF" w:rsidTr="00121462">
        <w:tc>
          <w:tcPr>
            <w:tcW w:w="4599" w:type="dxa"/>
            <w:gridSpan w:val="5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H) </w:t>
            </w:r>
            <w:r w:rsidR="00650F82">
              <w:t>Tipo de propuesta</w:t>
            </w:r>
          </w:p>
        </w:tc>
        <w:tc>
          <w:tcPr>
            <w:tcW w:w="3095" w:type="dxa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J) </w:t>
            </w:r>
            <w:r w:rsidR="00650F82">
              <w:t>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K) </w:t>
            </w:r>
            <w:r w:rsidR="00650F82">
              <w:t>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Fecha de Cierre</w:t>
            </w:r>
          </w:p>
        </w:tc>
      </w:tr>
      <w:tr w:rsidR="00007BAF" w:rsidTr="00F61144">
        <w:tc>
          <w:tcPr>
            <w:tcW w:w="1092" w:type="dxa"/>
            <w:shd w:val="clear" w:color="auto" w:fill="D9D9D9" w:themeFill="background1" w:themeFillShade="D9"/>
          </w:tcPr>
          <w:p w:rsidR="001D4395" w:rsidRDefault="001D4395" w:rsidP="00C22A3F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1D4395" w:rsidRDefault="001D4395" w:rsidP="00C22A3F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1D4395" w:rsidRDefault="001D4395" w:rsidP="00C22A3F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1D4395" w:rsidRDefault="001D4395" w:rsidP="00C22A3F">
            <w:pPr>
              <w:jc w:val="center"/>
            </w:pPr>
            <w:r>
              <w:t>Proyecto</w:t>
            </w:r>
          </w:p>
        </w:tc>
        <w:tc>
          <w:tcPr>
            <w:tcW w:w="3095" w:type="dxa"/>
            <w:shd w:val="clear" w:color="auto" w:fill="D9D9D9" w:themeFill="background1" w:themeFillShade="D9"/>
          </w:tcPr>
          <w:p w:rsidR="001D4395" w:rsidRDefault="001D4395" w:rsidP="00C22A3F">
            <w:pPr>
              <w:jc w:val="center"/>
            </w:pPr>
            <w:r>
              <w:t>TOTAL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1D4395" w:rsidRDefault="001D4395" w:rsidP="006F1A5C">
            <w:r>
              <w:t>Enero de 2017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1D4395" w:rsidRDefault="001D4395" w:rsidP="006F1A5C">
            <w:r>
              <w:t>Diciembre 2017</w:t>
            </w:r>
          </w:p>
        </w:tc>
      </w:tr>
      <w:tr w:rsidR="00007BAF" w:rsidTr="00102DC7">
        <w:tc>
          <w:tcPr>
            <w:tcW w:w="1092" w:type="dxa"/>
          </w:tcPr>
          <w:p w:rsidR="001D4395" w:rsidRDefault="001D4395" w:rsidP="006F1A5C">
            <w:pPr>
              <w:jc w:val="center"/>
            </w:pPr>
            <w:r>
              <w:t>X</w:t>
            </w:r>
          </w:p>
        </w:tc>
        <w:tc>
          <w:tcPr>
            <w:tcW w:w="1060" w:type="dxa"/>
          </w:tcPr>
          <w:p w:rsidR="001D4395" w:rsidRDefault="001D4395" w:rsidP="006F1A5C">
            <w:pPr>
              <w:jc w:val="center"/>
            </w:pPr>
          </w:p>
        </w:tc>
        <w:tc>
          <w:tcPr>
            <w:tcW w:w="915" w:type="dxa"/>
          </w:tcPr>
          <w:p w:rsidR="001D4395" w:rsidRDefault="001D4395" w:rsidP="006F1A5C">
            <w:pPr>
              <w:jc w:val="center"/>
            </w:pPr>
          </w:p>
        </w:tc>
        <w:tc>
          <w:tcPr>
            <w:tcW w:w="1532" w:type="dxa"/>
            <w:gridSpan w:val="2"/>
          </w:tcPr>
          <w:p w:rsidR="001D4395" w:rsidRDefault="001D4395" w:rsidP="006F1A5C">
            <w:pPr>
              <w:jc w:val="center"/>
            </w:pPr>
          </w:p>
        </w:tc>
        <w:tc>
          <w:tcPr>
            <w:tcW w:w="3095" w:type="dxa"/>
          </w:tcPr>
          <w:p w:rsidR="001D4395" w:rsidRDefault="00F94AD3" w:rsidP="005123AF">
            <w:pPr>
              <w:jc w:val="center"/>
            </w:pPr>
            <w:r>
              <w:t>0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1D4395" w:rsidRDefault="001D4395" w:rsidP="00650F82">
            <w:pPr>
              <w:jc w:val="center"/>
            </w:pPr>
            <w:r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1D4395" w:rsidRDefault="001D4395" w:rsidP="00650F82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1D4395" w:rsidRDefault="001D4395" w:rsidP="00650F82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1D4395" w:rsidRDefault="001D4395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1D4395" w:rsidRDefault="001D4395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1D4395" w:rsidRDefault="001D4395" w:rsidP="00650F82">
            <w:pPr>
              <w:jc w:val="center"/>
            </w:pPr>
            <w:r>
              <w:t>x</w:t>
            </w:r>
          </w:p>
        </w:tc>
      </w:tr>
      <w:tr w:rsidR="00007BAF" w:rsidTr="00121462">
        <w:tc>
          <w:tcPr>
            <w:tcW w:w="3067" w:type="dxa"/>
            <w:gridSpan w:val="3"/>
            <w:shd w:val="clear" w:color="auto" w:fill="D9D9D9" w:themeFill="background1" w:themeFillShade="D9"/>
          </w:tcPr>
          <w:p w:rsidR="00650F82" w:rsidRDefault="00507023" w:rsidP="00C22A3F">
            <w:r>
              <w:t>I</w:t>
            </w:r>
            <w:r w:rsidR="00195B59">
              <w:t xml:space="preserve">) </w:t>
            </w:r>
            <w:r w:rsidR="00650F82">
              <w:t>Monto total estimado</w:t>
            </w:r>
          </w:p>
        </w:tc>
        <w:tc>
          <w:tcPr>
            <w:tcW w:w="1532" w:type="dxa"/>
            <w:gridSpan w:val="2"/>
          </w:tcPr>
          <w:p w:rsidR="00650F82" w:rsidRDefault="00650F82" w:rsidP="005123AF"/>
        </w:tc>
        <w:tc>
          <w:tcPr>
            <w:tcW w:w="3095" w:type="dxa"/>
            <w:shd w:val="clear" w:color="auto" w:fill="D9D9D9" w:themeFill="background1" w:themeFillShade="D9"/>
          </w:tcPr>
          <w:p w:rsidR="00650F82" w:rsidRDefault="00650F82" w:rsidP="00C22A3F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98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25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946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shd w:val="clear" w:color="auto" w:fill="FABF8F" w:themeFill="accent6" w:themeFillTint="99"/>
          </w:tcPr>
          <w:p w:rsidR="00650F82" w:rsidRDefault="00650F82" w:rsidP="00C22A3F"/>
        </w:tc>
      </w:tr>
    </w:tbl>
    <w:p w:rsidR="00195B59" w:rsidRPr="00B44A80" w:rsidRDefault="00145F76" w:rsidP="00414D92">
      <w:pPr>
        <w:rPr>
          <w:b/>
          <w:sz w:val="48"/>
        </w:rPr>
      </w:pPr>
      <w:r>
        <w:br w:type="page"/>
      </w:r>
      <w:r w:rsidR="00195B59" w:rsidRPr="00B44A80">
        <w:rPr>
          <w:b/>
          <w:sz w:val="48"/>
        </w:rPr>
        <w:lastRenderedPageBreak/>
        <w:t>ANEXO 2</w:t>
      </w:r>
    </w:p>
    <w:p w:rsidR="00191343" w:rsidRDefault="00541F08" w:rsidP="00191343">
      <w:pPr>
        <w:jc w:val="center"/>
        <w:rPr>
          <w:sz w:val="28"/>
        </w:rPr>
      </w:pPr>
      <w:r>
        <w:rPr>
          <w:sz w:val="28"/>
        </w:rPr>
        <w:t xml:space="preserve">2.- </w:t>
      </w:r>
      <w:r w:rsidR="00191343">
        <w:rPr>
          <w:sz w:val="28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467"/>
        <w:gridCol w:w="3303"/>
        <w:gridCol w:w="2582"/>
        <w:gridCol w:w="3431"/>
      </w:tblGrid>
      <w:tr w:rsidR="000473B9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473B9" w:rsidRDefault="00A01DCA" w:rsidP="00A01DCA">
            <w:r>
              <w:t>A) Principal producto esperado (base para el establecimiento de metas)</w:t>
            </w:r>
            <w:r w:rsidR="005461F3">
              <w:t xml:space="preserve"> </w:t>
            </w:r>
          </w:p>
        </w:tc>
        <w:tc>
          <w:tcPr>
            <w:tcW w:w="3644" w:type="pct"/>
            <w:gridSpan w:val="3"/>
            <w:shd w:val="clear" w:color="auto" w:fill="auto"/>
          </w:tcPr>
          <w:p w:rsidR="00787617" w:rsidRDefault="00787617" w:rsidP="00787617">
            <w:pPr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 xml:space="preserve">Recursos financieros </w:t>
            </w:r>
            <w:r w:rsidR="00120CFF">
              <w:rPr>
                <w:rFonts w:cs="Arial"/>
                <w:color w:val="365F91" w:themeColor="accent1" w:themeShade="BF"/>
              </w:rPr>
              <w:t xml:space="preserve">suplementarios, obtenidos </w:t>
            </w:r>
            <w:r w:rsidRPr="00787617">
              <w:rPr>
                <w:rFonts w:cs="Arial"/>
                <w:color w:val="365F91" w:themeColor="accent1" w:themeShade="BF"/>
              </w:rPr>
              <w:t>por conceptos de cuotas de recuperación y pago de servicios vía fideicomisos públicos de la Secretaría de Salud</w:t>
            </w:r>
            <w:r w:rsidR="00120CFF">
              <w:rPr>
                <w:rFonts w:cs="Arial"/>
                <w:color w:val="365F91" w:themeColor="accent1" w:themeShade="BF"/>
              </w:rPr>
              <w:t>,</w:t>
            </w:r>
            <w:r>
              <w:rPr>
                <w:rFonts w:cs="Arial"/>
                <w:color w:val="365F91" w:themeColor="accent1" w:themeShade="BF"/>
              </w:rPr>
              <w:t xml:space="preserve"> administrados eficientemente y </w:t>
            </w:r>
            <w:r w:rsidRPr="00787617">
              <w:rPr>
                <w:rFonts w:cs="Arial"/>
                <w:color w:val="365F91" w:themeColor="accent1" w:themeShade="BF"/>
              </w:rPr>
              <w:t>asignados a la modernización, equipamiento y conservación de las Unidades.</w:t>
            </w:r>
            <w:r>
              <w:rPr>
                <w:rFonts w:cs="Arial"/>
                <w:color w:val="365F91" w:themeColor="accent1" w:themeShade="BF"/>
              </w:rPr>
              <w:t xml:space="preserve"> </w:t>
            </w:r>
          </w:p>
          <w:p w:rsidR="005461F3" w:rsidRDefault="005461F3" w:rsidP="00787617"/>
        </w:tc>
      </w:tr>
      <w:tr w:rsidR="00A5734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A57343" w:rsidRDefault="00A01DCA" w:rsidP="00C22A3F">
            <w:r>
              <w:t>B)Actividades a realizar para la obtención del producto esperado</w:t>
            </w:r>
          </w:p>
        </w:tc>
        <w:tc>
          <w:tcPr>
            <w:tcW w:w="3644" w:type="pct"/>
            <w:gridSpan w:val="3"/>
            <w:shd w:val="clear" w:color="auto" w:fill="auto"/>
          </w:tcPr>
          <w:p w:rsidR="00641E7D" w:rsidRDefault="00F94AD3" w:rsidP="005123AF">
            <w:r>
              <w:t>Administración general  de recursos materiales, financieros y humanos de la dependencia.</w:t>
            </w:r>
          </w:p>
        </w:tc>
      </w:tr>
      <w:tr w:rsidR="005461F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5461F3" w:rsidRDefault="005461F3" w:rsidP="005461F3">
            <w:r>
              <w:t xml:space="preserve">Indicador de Resultados vinculado al PMD según Línea de Acción </w:t>
            </w:r>
          </w:p>
        </w:tc>
        <w:tc>
          <w:tcPr>
            <w:tcW w:w="3644" w:type="pct"/>
            <w:gridSpan w:val="3"/>
            <w:shd w:val="clear" w:color="auto" w:fill="FABF8F" w:themeFill="accent6" w:themeFillTint="99"/>
          </w:tcPr>
          <w:p w:rsidR="005461F3" w:rsidRDefault="005461F3" w:rsidP="00C22A3F"/>
        </w:tc>
      </w:tr>
      <w:tr w:rsidR="0003322C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3322C" w:rsidRDefault="0003322C" w:rsidP="0003322C">
            <w:r>
              <w:t xml:space="preserve">Indicador vinculado a los Objetivos de Desarrollo Sostenible </w:t>
            </w:r>
          </w:p>
        </w:tc>
        <w:tc>
          <w:tcPr>
            <w:tcW w:w="3644" w:type="pct"/>
            <w:gridSpan w:val="3"/>
            <w:shd w:val="clear" w:color="auto" w:fill="FABF8F" w:themeFill="accent6" w:themeFillTint="99"/>
          </w:tcPr>
          <w:p w:rsidR="0003322C" w:rsidRDefault="0003322C" w:rsidP="00C22A3F"/>
        </w:tc>
      </w:tr>
      <w:tr w:rsidR="0003322C" w:rsidTr="00787617">
        <w:tc>
          <w:tcPr>
            <w:tcW w:w="1356" w:type="pct"/>
            <w:vMerge w:val="restart"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  <w:r>
              <w:t>Alcance</w:t>
            </w:r>
          </w:p>
        </w:tc>
        <w:tc>
          <w:tcPr>
            <w:tcW w:w="1292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Corto Plazo</w:t>
            </w:r>
          </w:p>
        </w:tc>
        <w:tc>
          <w:tcPr>
            <w:tcW w:w="1010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Mediano Plazo</w:t>
            </w:r>
          </w:p>
        </w:tc>
        <w:tc>
          <w:tcPr>
            <w:tcW w:w="1342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Largo Plazo</w:t>
            </w:r>
          </w:p>
        </w:tc>
      </w:tr>
      <w:tr w:rsidR="0003322C" w:rsidTr="00787617">
        <w:tc>
          <w:tcPr>
            <w:tcW w:w="1356" w:type="pct"/>
            <w:vMerge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</w:p>
        </w:tc>
        <w:tc>
          <w:tcPr>
            <w:tcW w:w="1292" w:type="pct"/>
            <w:shd w:val="clear" w:color="auto" w:fill="auto"/>
          </w:tcPr>
          <w:p w:rsidR="0003322C" w:rsidRDefault="00CF2FED" w:rsidP="005461F3">
            <w:pPr>
              <w:jc w:val="center"/>
            </w:pPr>
            <w:r>
              <w:t>X</w:t>
            </w:r>
          </w:p>
        </w:tc>
        <w:tc>
          <w:tcPr>
            <w:tcW w:w="1010" w:type="pct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342" w:type="pct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</w:tr>
      <w:tr w:rsidR="00414D92" w:rsidTr="00A316F5">
        <w:tc>
          <w:tcPr>
            <w:tcW w:w="1356" w:type="pct"/>
            <w:shd w:val="clear" w:color="auto" w:fill="D9D9D9" w:themeFill="background1" w:themeFillShade="D9"/>
          </w:tcPr>
          <w:p w:rsidR="00414D92" w:rsidRDefault="00414D92" w:rsidP="00831976">
            <w:r>
              <w:t>C) Valor Inicial de la Meta</w:t>
            </w:r>
          </w:p>
        </w:tc>
        <w:tc>
          <w:tcPr>
            <w:tcW w:w="1292" w:type="pct"/>
            <w:shd w:val="clear" w:color="auto" w:fill="D9D9D9" w:themeFill="background1" w:themeFillShade="D9"/>
          </w:tcPr>
          <w:p w:rsidR="00414D92" w:rsidRDefault="00414D92" w:rsidP="00FA4CA7">
            <w:pPr>
              <w:jc w:val="center"/>
            </w:pPr>
            <w:r>
              <w:t>Valor final de la Meta</w:t>
            </w:r>
          </w:p>
        </w:tc>
        <w:tc>
          <w:tcPr>
            <w:tcW w:w="1010" w:type="pct"/>
            <w:shd w:val="clear" w:color="auto" w:fill="D9D9D9" w:themeFill="background1" w:themeFillShade="D9"/>
          </w:tcPr>
          <w:p w:rsidR="00414D92" w:rsidRDefault="00414D92" w:rsidP="005461F3">
            <w:pPr>
              <w:jc w:val="center"/>
            </w:pPr>
            <w:r>
              <w:t>Nombre del indicador</w:t>
            </w:r>
          </w:p>
        </w:tc>
        <w:tc>
          <w:tcPr>
            <w:tcW w:w="1342" w:type="pct"/>
            <w:shd w:val="clear" w:color="auto" w:fill="D9D9D9" w:themeFill="background1" w:themeFillShade="D9"/>
          </w:tcPr>
          <w:p w:rsidR="00414D92" w:rsidRDefault="00414D92" w:rsidP="00414D92">
            <w:pPr>
              <w:jc w:val="center"/>
            </w:pPr>
            <w:r>
              <w:t>Formula del indicador</w:t>
            </w:r>
          </w:p>
        </w:tc>
      </w:tr>
      <w:tr w:rsidR="00120CFF" w:rsidTr="00A316F5">
        <w:tc>
          <w:tcPr>
            <w:tcW w:w="1356" w:type="pct"/>
            <w:shd w:val="clear" w:color="auto" w:fill="auto"/>
          </w:tcPr>
          <w:p w:rsidR="00120CFF" w:rsidRDefault="00120CFF" w:rsidP="00886736">
            <w:pPr>
              <w:jc w:val="both"/>
              <w:rPr>
                <w:rFonts w:cs="Arial"/>
                <w:color w:val="365F91" w:themeColor="accent1" w:themeShade="BF"/>
              </w:rPr>
            </w:pPr>
            <w:r w:rsidRPr="007C6309">
              <w:rPr>
                <w:rFonts w:cs="Arial"/>
                <w:color w:val="365F91" w:themeColor="accent1" w:themeShade="BF"/>
              </w:rPr>
              <w:t xml:space="preserve">Monto </w:t>
            </w:r>
            <w:r w:rsidR="00886736">
              <w:rPr>
                <w:rFonts w:cs="Arial"/>
                <w:color w:val="365F91" w:themeColor="accent1" w:themeShade="BF"/>
              </w:rPr>
              <w:t>inicial</w:t>
            </w:r>
            <w:r w:rsidRPr="007C6309">
              <w:rPr>
                <w:rFonts w:cs="Arial"/>
                <w:color w:val="365F91" w:themeColor="accent1" w:themeShade="BF"/>
              </w:rPr>
              <w:t xml:space="preserve"> de recursos</w:t>
            </w:r>
            <w:r w:rsidRPr="007C6309">
              <w:t xml:space="preserve"> </w:t>
            </w:r>
            <w:r w:rsidRPr="007C6309">
              <w:rPr>
                <w:rFonts w:cs="Arial"/>
                <w:color w:val="365F91" w:themeColor="accent1" w:themeShade="BF"/>
              </w:rPr>
              <w:t xml:space="preserve">financieros suplementarios obtenidos por conceptos de cuotas de recuperación y pago de servicios vía </w:t>
            </w:r>
            <w:r w:rsidR="00886736">
              <w:rPr>
                <w:rFonts w:cs="Arial"/>
                <w:color w:val="365F91" w:themeColor="accent1" w:themeShade="BF"/>
              </w:rPr>
              <w:t>fideicomisos públicos = cero</w:t>
            </w:r>
          </w:p>
          <w:p w:rsidR="00886736" w:rsidRDefault="00886736" w:rsidP="00886736">
            <w:pPr>
              <w:jc w:val="both"/>
              <w:rPr>
                <w:rFonts w:cs="Arial"/>
                <w:color w:val="365F91" w:themeColor="accent1" w:themeShade="BF"/>
              </w:rPr>
            </w:pPr>
          </w:p>
          <w:p w:rsidR="00886736" w:rsidRPr="007C6309" w:rsidRDefault="00886736" w:rsidP="00886736">
            <w:pPr>
              <w:jc w:val="both"/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 xml:space="preserve">Monto inicial de recursos invertidos en </w:t>
            </w:r>
            <w:r w:rsidRPr="00787617">
              <w:rPr>
                <w:rFonts w:cs="Arial"/>
                <w:color w:val="365F91" w:themeColor="accent1" w:themeShade="BF"/>
              </w:rPr>
              <w:t>equipamiento y conservación de las Unidades</w:t>
            </w:r>
            <w:r>
              <w:rPr>
                <w:rFonts w:cs="Arial"/>
                <w:color w:val="365F91" w:themeColor="accent1" w:themeShade="BF"/>
              </w:rPr>
              <w:t xml:space="preserve"> = cero</w:t>
            </w:r>
          </w:p>
        </w:tc>
        <w:tc>
          <w:tcPr>
            <w:tcW w:w="1292" w:type="pct"/>
            <w:shd w:val="clear" w:color="auto" w:fill="auto"/>
          </w:tcPr>
          <w:p w:rsidR="00120CFF" w:rsidRDefault="00120CFF" w:rsidP="00886736">
            <w:pPr>
              <w:jc w:val="both"/>
              <w:rPr>
                <w:rFonts w:cs="Arial"/>
                <w:color w:val="365F91" w:themeColor="accent1" w:themeShade="BF"/>
              </w:rPr>
            </w:pPr>
            <w:r w:rsidRPr="007C6309">
              <w:rPr>
                <w:rFonts w:cs="Arial"/>
                <w:color w:val="365F91" w:themeColor="accent1" w:themeShade="BF"/>
              </w:rPr>
              <w:t xml:space="preserve">Monto </w:t>
            </w:r>
            <w:r w:rsidR="00886736">
              <w:rPr>
                <w:rFonts w:cs="Arial"/>
                <w:color w:val="365F91" w:themeColor="accent1" w:themeShade="BF"/>
              </w:rPr>
              <w:t>final</w:t>
            </w:r>
            <w:r w:rsidRPr="007C6309">
              <w:rPr>
                <w:rFonts w:cs="Arial"/>
                <w:color w:val="365F91" w:themeColor="accent1" w:themeShade="BF"/>
              </w:rPr>
              <w:t xml:space="preserve"> de recursos</w:t>
            </w:r>
            <w:r w:rsidRPr="007C6309">
              <w:t xml:space="preserve"> </w:t>
            </w:r>
            <w:r w:rsidRPr="007C6309">
              <w:rPr>
                <w:rFonts w:cs="Arial"/>
                <w:color w:val="365F91" w:themeColor="accent1" w:themeShade="BF"/>
              </w:rPr>
              <w:t>financieros suplementarios obtenidos por conceptos de cuotas de recuperación y pago de servicios vía fideicomisos públicos.</w:t>
            </w:r>
          </w:p>
          <w:p w:rsidR="00886736" w:rsidRDefault="00886736" w:rsidP="00886736">
            <w:pPr>
              <w:jc w:val="both"/>
              <w:rPr>
                <w:rFonts w:cs="Arial"/>
                <w:color w:val="365F91" w:themeColor="accent1" w:themeShade="BF"/>
              </w:rPr>
            </w:pPr>
          </w:p>
          <w:p w:rsidR="00886736" w:rsidRPr="007C6309" w:rsidRDefault="00886736" w:rsidP="00886736">
            <w:pPr>
              <w:jc w:val="both"/>
              <w:rPr>
                <w:rFonts w:cs="Arial"/>
                <w:color w:val="365F91" w:themeColor="accent1" w:themeShade="BF"/>
              </w:rPr>
            </w:pPr>
            <w:r>
              <w:rPr>
                <w:rFonts w:cs="Arial"/>
                <w:color w:val="365F91" w:themeColor="accent1" w:themeShade="BF"/>
              </w:rPr>
              <w:t xml:space="preserve">Monto final de recursos invertidos en </w:t>
            </w:r>
            <w:r w:rsidRPr="00787617">
              <w:rPr>
                <w:rFonts w:cs="Arial"/>
                <w:color w:val="365F91" w:themeColor="accent1" w:themeShade="BF"/>
              </w:rPr>
              <w:t>equipamiento y conservación de las Unidades</w:t>
            </w:r>
            <w:r>
              <w:rPr>
                <w:rFonts w:cs="Arial"/>
                <w:color w:val="365F91" w:themeColor="accent1" w:themeShade="BF"/>
              </w:rPr>
              <w:t>.</w:t>
            </w:r>
          </w:p>
        </w:tc>
        <w:tc>
          <w:tcPr>
            <w:tcW w:w="1010" w:type="pct"/>
            <w:shd w:val="clear" w:color="auto" w:fill="FFFFFF" w:themeFill="background1"/>
          </w:tcPr>
          <w:p w:rsidR="00120CFF" w:rsidRDefault="00120CFF" w:rsidP="00120CFF">
            <w:pPr>
              <w:jc w:val="both"/>
              <w:rPr>
                <w:rFonts w:cs="Arial"/>
                <w:color w:val="365F91" w:themeColor="accent1" w:themeShade="BF"/>
              </w:rPr>
            </w:pPr>
            <w:r w:rsidRPr="00120CFF">
              <w:rPr>
                <w:rFonts w:cs="Arial"/>
                <w:color w:val="365F91" w:themeColor="accent1" w:themeShade="BF"/>
              </w:rPr>
              <w:t xml:space="preserve">Monto </w:t>
            </w:r>
            <w:r>
              <w:rPr>
                <w:rFonts w:cs="Arial"/>
                <w:color w:val="365F91" w:themeColor="accent1" w:themeShade="BF"/>
              </w:rPr>
              <w:t xml:space="preserve">total </w:t>
            </w:r>
            <w:r w:rsidRPr="00120CFF">
              <w:rPr>
                <w:rFonts w:cs="Arial"/>
                <w:color w:val="365F91" w:themeColor="accent1" w:themeShade="BF"/>
              </w:rPr>
              <w:t>de recursos</w:t>
            </w:r>
            <w:r>
              <w:t xml:space="preserve"> </w:t>
            </w:r>
            <w:r>
              <w:rPr>
                <w:rFonts w:cs="Arial"/>
                <w:color w:val="365F91" w:themeColor="accent1" w:themeShade="BF"/>
              </w:rPr>
              <w:t xml:space="preserve">financieros suplementarios obtenidos </w:t>
            </w:r>
            <w:r w:rsidRPr="00787617">
              <w:rPr>
                <w:rFonts w:cs="Arial"/>
                <w:color w:val="365F91" w:themeColor="accent1" w:themeShade="BF"/>
              </w:rPr>
              <w:t>por conceptos de cuotas de recuperación y pago de servicios vía fideicomisos públicos</w:t>
            </w:r>
            <w:r>
              <w:rPr>
                <w:rFonts w:cs="Arial"/>
                <w:color w:val="365F91" w:themeColor="accent1" w:themeShade="BF"/>
              </w:rPr>
              <w:t>.</w:t>
            </w:r>
          </w:p>
          <w:p w:rsidR="00120CFF" w:rsidRDefault="00120CFF" w:rsidP="00120CFF">
            <w:pPr>
              <w:jc w:val="both"/>
              <w:rPr>
                <w:rFonts w:cs="Arial"/>
                <w:color w:val="365F91" w:themeColor="accent1" w:themeShade="BF"/>
              </w:rPr>
            </w:pPr>
          </w:p>
          <w:p w:rsidR="00120CFF" w:rsidRDefault="00120CFF" w:rsidP="00120CFF">
            <w:pPr>
              <w:jc w:val="both"/>
            </w:pPr>
            <w:r>
              <w:rPr>
                <w:rFonts w:cs="Arial"/>
                <w:color w:val="365F91" w:themeColor="accent1" w:themeShade="BF"/>
              </w:rPr>
              <w:t xml:space="preserve">Monto total de recursos invertidos en </w:t>
            </w:r>
            <w:r w:rsidRPr="00787617">
              <w:rPr>
                <w:rFonts w:cs="Arial"/>
                <w:color w:val="365F91" w:themeColor="accent1" w:themeShade="BF"/>
              </w:rPr>
              <w:t>equipamiento y conservación de las Unidades</w:t>
            </w:r>
            <w:r>
              <w:rPr>
                <w:rFonts w:cs="Arial"/>
                <w:color w:val="365F91" w:themeColor="accent1" w:themeShade="BF"/>
              </w:rPr>
              <w:t>.</w:t>
            </w:r>
          </w:p>
        </w:tc>
        <w:tc>
          <w:tcPr>
            <w:tcW w:w="1342" w:type="pct"/>
            <w:shd w:val="clear" w:color="auto" w:fill="FFFFFF" w:themeFill="background1"/>
          </w:tcPr>
          <w:p w:rsidR="00886736" w:rsidRDefault="00886736" w:rsidP="00120CFF">
            <w:pPr>
              <w:jc w:val="both"/>
              <w:rPr>
                <w:rFonts w:cs="Arial"/>
                <w:color w:val="365F91" w:themeColor="accent1" w:themeShade="BF"/>
              </w:rPr>
            </w:pPr>
          </w:p>
          <w:p w:rsidR="00886736" w:rsidRDefault="00886736" w:rsidP="00120CFF">
            <w:pPr>
              <w:jc w:val="both"/>
              <w:rPr>
                <w:rFonts w:cs="Arial"/>
                <w:color w:val="365F91" w:themeColor="accent1" w:themeShade="BF"/>
              </w:rPr>
            </w:pPr>
          </w:p>
          <w:p w:rsidR="00886736" w:rsidRDefault="00886736" w:rsidP="00120CFF">
            <w:pPr>
              <w:jc w:val="both"/>
              <w:rPr>
                <w:rFonts w:cs="Arial"/>
                <w:color w:val="365F91" w:themeColor="accent1" w:themeShade="BF"/>
              </w:rPr>
            </w:pPr>
          </w:p>
          <w:p w:rsidR="00886736" w:rsidRDefault="00886736" w:rsidP="00120CFF">
            <w:pPr>
              <w:jc w:val="both"/>
              <w:rPr>
                <w:rFonts w:cs="Arial"/>
                <w:color w:val="365F91" w:themeColor="accent1" w:themeShade="BF"/>
              </w:rPr>
            </w:pPr>
          </w:p>
          <w:p w:rsidR="00886736" w:rsidRDefault="00886736" w:rsidP="00120CFF">
            <w:pPr>
              <w:jc w:val="both"/>
              <w:rPr>
                <w:rFonts w:cs="Arial"/>
                <w:color w:val="365F91" w:themeColor="accent1" w:themeShade="BF"/>
              </w:rPr>
            </w:pPr>
          </w:p>
          <w:p w:rsidR="00120CFF" w:rsidRDefault="00120CFF" w:rsidP="00120CFF">
            <w:pPr>
              <w:jc w:val="both"/>
            </w:pPr>
            <w:r>
              <w:rPr>
                <w:rFonts w:cs="Arial"/>
                <w:color w:val="365F91" w:themeColor="accent1" w:themeShade="BF"/>
              </w:rPr>
              <w:t>N/A</w:t>
            </w:r>
          </w:p>
        </w:tc>
      </w:tr>
      <w:tr w:rsidR="00120CFF" w:rsidTr="00414D92">
        <w:tc>
          <w:tcPr>
            <w:tcW w:w="2648" w:type="pct"/>
            <w:gridSpan w:val="2"/>
            <w:shd w:val="clear" w:color="auto" w:fill="D9D9D9" w:themeFill="background1" w:themeFillShade="D9"/>
          </w:tcPr>
          <w:p w:rsidR="00120CFF" w:rsidRDefault="00120CFF" w:rsidP="00120CFF">
            <w:r>
              <w:t>Clave de presupuesto determinada en Finanzas para la etiquetación de recursos</w:t>
            </w:r>
          </w:p>
        </w:tc>
        <w:tc>
          <w:tcPr>
            <w:tcW w:w="2352" w:type="pct"/>
            <w:gridSpan w:val="2"/>
            <w:shd w:val="clear" w:color="auto" w:fill="FABF8F" w:themeFill="accent6" w:themeFillTint="99"/>
          </w:tcPr>
          <w:p w:rsidR="00120CFF" w:rsidRDefault="00120CFF" w:rsidP="00120CFF"/>
        </w:tc>
      </w:tr>
    </w:tbl>
    <w:p w:rsidR="002C48EE" w:rsidRDefault="002C48EE"/>
    <w:tbl>
      <w:tblPr>
        <w:tblStyle w:val="Tablaconcuadrcula"/>
        <w:tblW w:w="4759" w:type="pct"/>
        <w:tblLook w:val="04A0" w:firstRow="1" w:lastRow="0" w:firstColumn="1" w:lastColumn="0" w:noHBand="0" w:noVBand="1"/>
      </w:tblPr>
      <w:tblGrid>
        <w:gridCol w:w="5231"/>
        <w:gridCol w:w="593"/>
        <w:gridCol w:w="548"/>
        <w:gridCol w:w="663"/>
        <w:gridCol w:w="597"/>
        <w:gridCol w:w="656"/>
        <w:gridCol w:w="578"/>
        <w:gridCol w:w="539"/>
        <w:gridCol w:w="639"/>
        <w:gridCol w:w="545"/>
        <w:gridCol w:w="591"/>
        <w:gridCol w:w="641"/>
        <w:gridCol w:w="547"/>
      </w:tblGrid>
      <w:tr w:rsidR="005C6958" w:rsidTr="00414D92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5C6958" w:rsidRPr="002B2543" w:rsidRDefault="005C6958" w:rsidP="00C3208D">
            <w:pPr>
              <w:jc w:val="center"/>
              <w:rPr>
                <w:b/>
              </w:rPr>
            </w:pPr>
            <w:r w:rsidRPr="002B2543">
              <w:rPr>
                <w:b/>
              </w:rPr>
              <w:lastRenderedPageBreak/>
              <w:t xml:space="preserve">Cronograma </w:t>
            </w:r>
            <w:r w:rsidR="001F5B4A" w:rsidRPr="002B2543">
              <w:rPr>
                <w:b/>
              </w:rPr>
              <w:t xml:space="preserve">Anual </w:t>
            </w:r>
            <w:r w:rsidR="00762157" w:rsidRPr="002B2543">
              <w:rPr>
                <w:b/>
              </w:rPr>
              <w:t xml:space="preserve"> de Actividades</w:t>
            </w:r>
          </w:p>
        </w:tc>
      </w:tr>
      <w:tr w:rsidR="005F04CD" w:rsidRPr="002B2543" w:rsidTr="00A316F5">
        <w:trPr>
          <w:trHeight w:val="296"/>
        </w:trPr>
        <w:tc>
          <w:tcPr>
            <w:tcW w:w="0" w:type="auto"/>
            <w:vMerge w:val="restart"/>
            <w:shd w:val="clear" w:color="auto" w:fill="D9D9D9" w:themeFill="background1" w:themeFillShade="D9"/>
          </w:tcPr>
          <w:p w:rsidR="005F04CD" w:rsidRPr="002B2543" w:rsidRDefault="005F04CD" w:rsidP="00F8764B">
            <w:pPr>
              <w:rPr>
                <w:b/>
              </w:rPr>
            </w:pPr>
            <w:r w:rsidRPr="002B2543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2885" w:type="pct"/>
            <w:gridSpan w:val="12"/>
            <w:shd w:val="clear" w:color="auto" w:fill="D9D9D9" w:themeFill="background1" w:themeFillShade="D9"/>
            <w:vAlign w:val="bottom"/>
          </w:tcPr>
          <w:p w:rsidR="005F04CD" w:rsidRPr="002B2543" w:rsidRDefault="005F04CD" w:rsidP="00F8764B">
            <w:pPr>
              <w:jc w:val="center"/>
              <w:rPr>
                <w:b/>
              </w:rPr>
            </w:pPr>
            <w:r w:rsidRPr="002B2543">
              <w:rPr>
                <w:b/>
              </w:rPr>
              <w:t>2017</w:t>
            </w:r>
          </w:p>
        </w:tc>
      </w:tr>
      <w:tr w:rsidR="005F04CD" w:rsidRPr="002B2543" w:rsidTr="00A316F5">
        <w:trPr>
          <w:trHeight w:val="401"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5F04CD" w:rsidRDefault="005F04CD" w:rsidP="005F04CD"/>
        </w:tc>
        <w:tc>
          <w:tcPr>
            <w:tcW w:w="24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ENE</w:t>
            </w:r>
          </w:p>
        </w:tc>
        <w:tc>
          <w:tcPr>
            <w:tcW w:w="222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FEB</w:t>
            </w:r>
          </w:p>
        </w:tc>
        <w:tc>
          <w:tcPr>
            <w:tcW w:w="26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MZO</w:t>
            </w:r>
          </w:p>
        </w:tc>
        <w:tc>
          <w:tcPr>
            <w:tcW w:w="24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ABR</w:t>
            </w:r>
          </w:p>
        </w:tc>
        <w:tc>
          <w:tcPr>
            <w:tcW w:w="265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MAY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JUN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JUL</w:t>
            </w:r>
          </w:p>
        </w:tc>
        <w:tc>
          <w:tcPr>
            <w:tcW w:w="25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AGO</w:t>
            </w:r>
          </w:p>
        </w:tc>
        <w:tc>
          <w:tcPr>
            <w:tcW w:w="22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SEP</w:t>
            </w:r>
          </w:p>
        </w:tc>
        <w:tc>
          <w:tcPr>
            <w:tcW w:w="23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OCT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213EC1" w:rsidTr="00BA1FFD">
        <w:trPr>
          <w:trHeight w:val="312"/>
        </w:trPr>
        <w:tc>
          <w:tcPr>
            <w:tcW w:w="0" w:type="auto"/>
            <w:shd w:val="clear" w:color="auto" w:fill="auto"/>
          </w:tcPr>
          <w:p w:rsidR="00213EC1" w:rsidRPr="00A316F5" w:rsidRDefault="00EB093F" w:rsidP="00691B6A">
            <w:r>
              <w:t>Administración de personal</w:t>
            </w:r>
            <w:r w:rsidR="00213EC1">
              <w:t xml:space="preserve"> </w:t>
            </w:r>
          </w:p>
        </w:tc>
        <w:tc>
          <w:tcPr>
            <w:tcW w:w="240" w:type="pct"/>
            <w:shd w:val="clear" w:color="auto" w:fill="auto"/>
          </w:tcPr>
          <w:p w:rsidR="00213EC1" w:rsidRPr="00145F76" w:rsidRDefault="00213EC1" w:rsidP="00213E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213EC1" w:rsidRPr="00145F76" w:rsidRDefault="00213EC1" w:rsidP="00213E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213EC1" w:rsidRPr="00145F76" w:rsidRDefault="00213EC1" w:rsidP="00213E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213EC1" w:rsidRPr="00145F76" w:rsidRDefault="00213EC1" w:rsidP="00213E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213EC1" w:rsidRPr="00145F76" w:rsidRDefault="00213EC1" w:rsidP="00213E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213EC1" w:rsidRPr="00145F76" w:rsidRDefault="00213EC1" w:rsidP="00213E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213EC1" w:rsidRPr="00145F76" w:rsidRDefault="00213EC1" w:rsidP="00213E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:rsidR="00213EC1" w:rsidRPr="00145F76" w:rsidRDefault="00213EC1" w:rsidP="00213E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:rsidR="00213EC1" w:rsidRPr="00145F76" w:rsidRDefault="00213EC1" w:rsidP="00213E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213EC1" w:rsidRPr="00145F76" w:rsidRDefault="00213EC1" w:rsidP="00213E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:rsidR="00213EC1" w:rsidRPr="00145F76" w:rsidRDefault="00213EC1" w:rsidP="00213E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</w:tcPr>
          <w:p w:rsidR="00213EC1" w:rsidRPr="00145F76" w:rsidRDefault="00213EC1" w:rsidP="00213E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213EC1" w:rsidTr="00BA1FFD">
        <w:trPr>
          <w:trHeight w:val="288"/>
        </w:trPr>
        <w:tc>
          <w:tcPr>
            <w:tcW w:w="0" w:type="auto"/>
            <w:shd w:val="clear" w:color="auto" w:fill="auto"/>
          </w:tcPr>
          <w:p w:rsidR="00213EC1" w:rsidRPr="00A316F5" w:rsidRDefault="00EB093F" w:rsidP="00EB093F">
            <w:pPr>
              <w:tabs>
                <w:tab w:val="center" w:pos="2553"/>
              </w:tabs>
            </w:pPr>
            <w:r>
              <w:t>Administración, contabilidad y control de fondo revolvente</w:t>
            </w:r>
          </w:p>
        </w:tc>
        <w:tc>
          <w:tcPr>
            <w:tcW w:w="240" w:type="pct"/>
            <w:shd w:val="clear" w:color="auto" w:fill="auto"/>
          </w:tcPr>
          <w:p w:rsidR="00213EC1" w:rsidRPr="00145F76" w:rsidRDefault="00213EC1" w:rsidP="00213E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213EC1" w:rsidRPr="00145F76" w:rsidRDefault="00213EC1" w:rsidP="00213E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213EC1" w:rsidRPr="00145F76" w:rsidRDefault="00213EC1" w:rsidP="00213E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213EC1" w:rsidRPr="00145F76" w:rsidRDefault="00213EC1" w:rsidP="00213E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213EC1" w:rsidRPr="00145F76" w:rsidRDefault="00213EC1" w:rsidP="00213E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213EC1" w:rsidRPr="00145F76" w:rsidRDefault="00213EC1" w:rsidP="00213E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213EC1" w:rsidRPr="00145F76" w:rsidRDefault="00213EC1" w:rsidP="00213E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:rsidR="00213EC1" w:rsidRPr="00145F76" w:rsidRDefault="00213EC1" w:rsidP="00213E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:rsidR="00213EC1" w:rsidRPr="00145F76" w:rsidRDefault="00213EC1" w:rsidP="00213E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213EC1" w:rsidRPr="00145F76" w:rsidRDefault="00213EC1" w:rsidP="00213E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:rsidR="00213EC1" w:rsidRPr="00145F76" w:rsidRDefault="00213EC1" w:rsidP="00213E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</w:tcPr>
          <w:p w:rsidR="00213EC1" w:rsidRPr="00145F76" w:rsidRDefault="00213EC1" w:rsidP="00213E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213EC1" w:rsidTr="00BA1FFD">
        <w:trPr>
          <w:trHeight w:val="70"/>
        </w:trPr>
        <w:tc>
          <w:tcPr>
            <w:tcW w:w="0" w:type="auto"/>
            <w:shd w:val="clear" w:color="auto" w:fill="auto"/>
          </w:tcPr>
          <w:p w:rsidR="00213EC1" w:rsidRPr="00A316F5" w:rsidRDefault="00EB093F" w:rsidP="00213EC1">
            <w:r>
              <w:t>Administración de almacenes y farmacia</w:t>
            </w:r>
            <w:r w:rsidR="00213EC1">
              <w:t xml:space="preserve"> </w:t>
            </w:r>
          </w:p>
        </w:tc>
        <w:tc>
          <w:tcPr>
            <w:tcW w:w="240" w:type="pct"/>
            <w:shd w:val="clear" w:color="auto" w:fill="auto"/>
          </w:tcPr>
          <w:p w:rsidR="00213EC1" w:rsidRPr="00145F76" w:rsidRDefault="00213EC1" w:rsidP="00213E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213EC1" w:rsidRPr="00145F76" w:rsidRDefault="00213EC1" w:rsidP="00213E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213EC1" w:rsidRPr="00145F76" w:rsidRDefault="00213EC1" w:rsidP="00213E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213EC1" w:rsidRPr="00145F76" w:rsidRDefault="00213EC1" w:rsidP="00213E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213EC1" w:rsidRPr="00145F76" w:rsidRDefault="00213EC1" w:rsidP="00213E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213EC1" w:rsidRPr="00145F76" w:rsidRDefault="00213EC1" w:rsidP="00213E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213EC1" w:rsidRPr="00145F76" w:rsidRDefault="00213EC1" w:rsidP="00213E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:rsidR="00213EC1" w:rsidRPr="00145F76" w:rsidRDefault="00213EC1" w:rsidP="00213E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:rsidR="00213EC1" w:rsidRPr="00145F76" w:rsidRDefault="00213EC1" w:rsidP="00213E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213EC1" w:rsidRPr="00145F76" w:rsidRDefault="00213EC1" w:rsidP="00213E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:rsidR="00213EC1" w:rsidRPr="00145F76" w:rsidRDefault="00213EC1" w:rsidP="00213E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</w:tcPr>
          <w:p w:rsidR="00213EC1" w:rsidRPr="00145F76" w:rsidRDefault="00213EC1" w:rsidP="00213E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213EC1" w:rsidTr="00A316F5">
        <w:trPr>
          <w:trHeight w:val="281"/>
        </w:trPr>
        <w:tc>
          <w:tcPr>
            <w:tcW w:w="0" w:type="auto"/>
            <w:shd w:val="clear" w:color="auto" w:fill="auto"/>
          </w:tcPr>
          <w:p w:rsidR="00213EC1" w:rsidRPr="00A316F5" w:rsidRDefault="00EB093F" w:rsidP="001D4E0E">
            <w:pPr>
              <w:jc w:val="both"/>
            </w:pPr>
            <w:r>
              <w:t>Abastecimiento de insumos y equipo</w:t>
            </w:r>
          </w:p>
        </w:tc>
        <w:tc>
          <w:tcPr>
            <w:tcW w:w="240" w:type="pct"/>
            <w:shd w:val="clear" w:color="auto" w:fill="auto"/>
          </w:tcPr>
          <w:p w:rsidR="00213EC1" w:rsidRPr="00145F76" w:rsidRDefault="00213EC1" w:rsidP="00213E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213EC1" w:rsidRPr="00145F76" w:rsidRDefault="00213EC1" w:rsidP="00213E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213EC1" w:rsidRPr="00145F76" w:rsidRDefault="00213EC1" w:rsidP="00213E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213EC1" w:rsidRPr="00145F76" w:rsidRDefault="00213EC1" w:rsidP="00213E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213EC1" w:rsidRPr="00145F76" w:rsidRDefault="00213EC1" w:rsidP="00213E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213EC1" w:rsidRPr="00145F76" w:rsidRDefault="00213EC1" w:rsidP="00213E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213EC1" w:rsidRPr="00145F76" w:rsidRDefault="00213EC1" w:rsidP="00213E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:rsidR="00213EC1" w:rsidRPr="00145F76" w:rsidRDefault="00213EC1" w:rsidP="00213E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:rsidR="00213EC1" w:rsidRPr="00145F76" w:rsidRDefault="00213EC1" w:rsidP="00213E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213EC1" w:rsidRPr="00145F76" w:rsidRDefault="00213EC1" w:rsidP="00213E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:rsidR="00213EC1" w:rsidRPr="00145F76" w:rsidRDefault="00213EC1" w:rsidP="00213E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</w:tcPr>
          <w:p w:rsidR="00213EC1" w:rsidRPr="00145F76" w:rsidRDefault="00213EC1" w:rsidP="00213E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213EC1" w:rsidTr="00A316F5">
        <w:trPr>
          <w:trHeight w:val="281"/>
        </w:trPr>
        <w:tc>
          <w:tcPr>
            <w:tcW w:w="0" w:type="auto"/>
            <w:shd w:val="clear" w:color="auto" w:fill="auto"/>
          </w:tcPr>
          <w:p w:rsidR="00213EC1" w:rsidRDefault="00EB093F" w:rsidP="001D4E0E">
            <w:pPr>
              <w:jc w:val="both"/>
            </w:pPr>
            <w:r>
              <w:t xml:space="preserve">Dietología </w:t>
            </w:r>
          </w:p>
        </w:tc>
        <w:tc>
          <w:tcPr>
            <w:tcW w:w="240" w:type="pct"/>
            <w:shd w:val="clear" w:color="auto" w:fill="auto"/>
          </w:tcPr>
          <w:p w:rsidR="00213EC1" w:rsidRDefault="00213EC1" w:rsidP="00213EC1">
            <w:pPr>
              <w:jc w:val="center"/>
            </w:pPr>
            <w:r w:rsidRPr="00E267E8"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213EC1" w:rsidRDefault="00213EC1" w:rsidP="00213EC1">
            <w:pPr>
              <w:jc w:val="center"/>
            </w:pPr>
            <w:r w:rsidRPr="00E267E8"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213EC1" w:rsidRDefault="00213EC1" w:rsidP="00213EC1">
            <w:pPr>
              <w:jc w:val="center"/>
            </w:pPr>
            <w:r w:rsidRPr="00E267E8"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213EC1" w:rsidRDefault="00213EC1" w:rsidP="00213EC1">
            <w:pPr>
              <w:jc w:val="center"/>
            </w:pPr>
            <w:r w:rsidRPr="00E267E8"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213EC1" w:rsidRDefault="00213EC1" w:rsidP="00213EC1">
            <w:pPr>
              <w:jc w:val="center"/>
            </w:pPr>
            <w:r w:rsidRPr="00E267E8"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213EC1" w:rsidRDefault="00213EC1" w:rsidP="00213EC1">
            <w:pPr>
              <w:jc w:val="center"/>
            </w:pPr>
            <w:r w:rsidRPr="00E267E8"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213EC1" w:rsidRDefault="00213EC1" w:rsidP="00213EC1">
            <w:pPr>
              <w:jc w:val="center"/>
            </w:pPr>
            <w:r w:rsidRPr="00E267E8"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:rsidR="00213EC1" w:rsidRDefault="00213EC1" w:rsidP="00213EC1">
            <w:pPr>
              <w:jc w:val="center"/>
            </w:pPr>
            <w:r w:rsidRPr="00E267E8"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:rsidR="00213EC1" w:rsidRDefault="00213EC1" w:rsidP="00213EC1">
            <w:pPr>
              <w:jc w:val="center"/>
            </w:pPr>
            <w:r w:rsidRPr="00E267E8"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213EC1" w:rsidRDefault="00213EC1" w:rsidP="00213EC1">
            <w:pPr>
              <w:jc w:val="center"/>
            </w:pPr>
            <w:r w:rsidRPr="00E267E8"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:rsidR="00213EC1" w:rsidRDefault="00213EC1" w:rsidP="00213EC1">
            <w:pPr>
              <w:jc w:val="center"/>
            </w:pPr>
            <w:r w:rsidRPr="00E267E8"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</w:tcPr>
          <w:p w:rsidR="00213EC1" w:rsidRDefault="00213EC1" w:rsidP="00213EC1">
            <w:pPr>
              <w:jc w:val="center"/>
            </w:pPr>
            <w:r w:rsidRPr="00E267E8">
              <w:rPr>
                <w:sz w:val="20"/>
              </w:rPr>
              <w:t>X</w:t>
            </w:r>
          </w:p>
        </w:tc>
      </w:tr>
      <w:tr w:rsidR="00213EC1" w:rsidTr="00A316F5">
        <w:trPr>
          <w:trHeight w:val="281"/>
        </w:trPr>
        <w:tc>
          <w:tcPr>
            <w:tcW w:w="0" w:type="auto"/>
            <w:shd w:val="clear" w:color="auto" w:fill="auto"/>
          </w:tcPr>
          <w:p w:rsidR="00213EC1" w:rsidRDefault="00213EC1" w:rsidP="001D4E0E">
            <w:pPr>
              <w:jc w:val="both"/>
            </w:pPr>
            <w:r>
              <w:t>Intendencia</w:t>
            </w:r>
            <w:r w:rsidR="00EB093F">
              <w:t>, servicios generales y mantenimiento</w:t>
            </w:r>
          </w:p>
        </w:tc>
        <w:tc>
          <w:tcPr>
            <w:tcW w:w="240" w:type="pct"/>
            <w:shd w:val="clear" w:color="auto" w:fill="auto"/>
          </w:tcPr>
          <w:p w:rsidR="00213EC1" w:rsidRDefault="00213EC1" w:rsidP="00213EC1">
            <w:pPr>
              <w:jc w:val="center"/>
            </w:pPr>
            <w:r w:rsidRPr="00E267E8"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213EC1" w:rsidRDefault="00213EC1" w:rsidP="00213EC1">
            <w:pPr>
              <w:jc w:val="center"/>
            </w:pPr>
            <w:r w:rsidRPr="00E267E8"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213EC1" w:rsidRDefault="00213EC1" w:rsidP="00213EC1">
            <w:pPr>
              <w:jc w:val="center"/>
            </w:pPr>
            <w:r w:rsidRPr="00E267E8"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213EC1" w:rsidRDefault="00213EC1" w:rsidP="00213EC1">
            <w:pPr>
              <w:jc w:val="center"/>
            </w:pPr>
            <w:r w:rsidRPr="00E267E8"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213EC1" w:rsidRDefault="00213EC1" w:rsidP="00213EC1">
            <w:pPr>
              <w:jc w:val="center"/>
            </w:pPr>
            <w:r w:rsidRPr="00E267E8"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213EC1" w:rsidRDefault="00213EC1" w:rsidP="00213EC1">
            <w:pPr>
              <w:jc w:val="center"/>
            </w:pPr>
            <w:r w:rsidRPr="00E267E8"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213EC1" w:rsidRDefault="00213EC1" w:rsidP="00213EC1">
            <w:pPr>
              <w:jc w:val="center"/>
            </w:pPr>
            <w:r w:rsidRPr="00E267E8"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:rsidR="00213EC1" w:rsidRDefault="00213EC1" w:rsidP="00213EC1">
            <w:pPr>
              <w:jc w:val="center"/>
            </w:pPr>
            <w:r w:rsidRPr="00E267E8"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:rsidR="00213EC1" w:rsidRDefault="00213EC1" w:rsidP="00213EC1">
            <w:pPr>
              <w:jc w:val="center"/>
            </w:pPr>
            <w:r w:rsidRPr="00E267E8"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213EC1" w:rsidRDefault="00213EC1" w:rsidP="00213EC1">
            <w:pPr>
              <w:jc w:val="center"/>
            </w:pPr>
            <w:r w:rsidRPr="00E267E8"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:rsidR="00213EC1" w:rsidRDefault="00213EC1" w:rsidP="00213EC1">
            <w:pPr>
              <w:jc w:val="center"/>
            </w:pPr>
            <w:r w:rsidRPr="00E267E8"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</w:tcPr>
          <w:p w:rsidR="00213EC1" w:rsidRDefault="00213EC1" w:rsidP="00213EC1">
            <w:pPr>
              <w:jc w:val="center"/>
            </w:pPr>
            <w:r w:rsidRPr="00E267E8">
              <w:rPr>
                <w:sz w:val="20"/>
              </w:rPr>
              <w:t>X</w:t>
            </w:r>
          </w:p>
        </w:tc>
      </w:tr>
    </w:tbl>
    <w:p w:rsidR="007031DE" w:rsidRDefault="007031DE" w:rsidP="00212E94">
      <w:pPr>
        <w:rPr>
          <w:i/>
          <w:sz w:val="16"/>
        </w:rPr>
      </w:pPr>
    </w:p>
    <w:p w:rsidR="0042122F" w:rsidRDefault="0042122F" w:rsidP="00212E94">
      <w:pPr>
        <w:rPr>
          <w:i/>
          <w:sz w:val="16"/>
        </w:rPr>
      </w:pPr>
    </w:p>
    <w:p w:rsidR="0042122F" w:rsidRPr="00566171" w:rsidRDefault="0042122F" w:rsidP="0042122F">
      <w:pPr>
        <w:jc w:val="center"/>
        <w:rPr>
          <w:rFonts w:ascii="Arial" w:hAnsi="Arial" w:cs="Arial"/>
          <w:b/>
          <w:sz w:val="24"/>
          <w:szCs w:val="20"/>
        </w:rPr>
      </w:pPr>
      <w:r w:rsidRPr="00566171">
        <w:rPr>
          <w:rFonts w:ascii="Arial" w:hAnsi="Arial" w:cs="Arial"/>
          <w:b/>
          <w:sz w:val="24"/>
          <w:szCs w:val="20"/>
        </w:rPr>
        <w:t>Recursos empleados para la realización del Programa/Proyecto/Servicio/Campaña</w:t>
      </w:r>
      <w:r>
        <w:rPr>
          <w:rFonts w:ascii="Arial" w:hAnsi="Arial" w:cs="Arial"/>
          <w:b/>
          <w:sz w:val="24"/>
          <w:szCs w:val="20"/>
        </w:rPr>
        <w:t xml:space="preserve"> (PPSC)</w:t>
      </w:r>
    </w:p>
    <w:tbl>
      <w:tblPr>
        <w:tblStyle w:val="Tablaconcuadrcula"/>
        <w:tblW w:w="12724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2268"/>
        <w:gridCol w:w="992"/>
        <w:gridCol w:w="1134"/>
        <w:gridCol w:w="1560"/>
        <w:gridCol w:w="2693"/>
        <w:gridCol w:w="1559"/>
      </w:tblGrid>
      <w:tr w:rsidR="0042122F" w:rsidTr="0095351C">
        <w:trPr>
          <w:trHeight w:val="233"/>
        </w:trPr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>F) Recursos Materiales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42122F" w:rsidRPr="00566171" w:rsidRDefault="0042122F" w:rsidP="000611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Financieros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42122F" w:rsidTr="0095351C">
        <w:trPr>
          <w:trHeight w:val="232"/>
        </w:trPr>
        <w:tc>
          <w:tcPr>
            <w:tcW w:w="1526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Proveeduría</w:t>
            </w:r>
            <w:r w:rsidR="0095351C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Fondo Revolvente</w:t>
            </w:r>
          </w:p>
        </w:tc>
        <w:tc>
          <w:tcPr>
            <w:tcW w:w="2693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1559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</w:tr>
      <w:tr w:rsidR="0042122F" w:rsidTr="0095351C">
        <w:trPr>
          <w:trHeight w:val="637"/>
        </w:trPr>
        <w:tc>
          <w:tcPr>
            <w:tcW w:w="1526" w:type="dxa"/>
            <w:vMerge w:val="restart"/>
            <w:vAlign w:val="center"/>
          </w:tcPr>
          <w:p w:rsidR="0042122F" w:rsidRPr="00FF63B4" w:rsidRDefault="0042122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Personal que participa en éste PPSC</w:t>
            </w:r>
          </w:p>
        </w:tc>
        <w:tc>
          <w:tcPr>
            <w:tcW w:w="992" w:type="dxa"/>
            <w:vMerge w:val="restart"/>
          </w:tcPr>
          <w:p w:rsidR="005123AF" w:rsidRDefault="005123AF" w:rsidP="005123A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641E7D" w:rsidRPr="00FF63B4" w:rsidRDefault="00641E7D" w:rsidP="005123A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Vehículos empleados para éste PPSC</w:t>
            </w:r>
          </w:p>
        </w:tc>
        <w:tc>
          <w:tcPr>
            <w:tcW w:w="992" w:type="dxa"/>
            <w:shd w:val="clear" w:color="auto" w:fill="auto"/>
          </w:tcPr>
          <w:p w:rsidR="0042122F" w:rsidRPr="00FF63B4" w:rsidRDefault="00EB093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42122F" w:rsidRPr="00FF63B4" w:rsidRDefault="0042122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Monto total del Recurso obtenido mediante el fondo</w:t>
            </w:r>
            <w:r>
              <w:rPr>
                <w:rFonts w:ascii="Arial" w:hAnsi="Arial" w:cs="Arial"/>
                <w:sz w:val="18"/>
                <w:szCs w:val="20"/>
              </w:rPr>
              <w:t xml:space="preserve"> REVOLVENTE</w:t>
            </w:r>
            <w:r w:rsidRPr="00FF63B4">
              <w:rPr>
                <w:rFonts w:ascii="Arial" w:hAnsi="Arial" w:cs="Arial"/>
                <w:sz w:val="18"/>
                <w:szCs w:val="20"/>
              </w:rPr>
              <w:t xml:space="preserve"> que se destina</w:t>
            </w:r>
            <w:r>
              <w:rPr>
                <w:rFonts w:ascii="Arial" w:hAnsi="Arial" w:cs="Arial"/>
                <w:sz w:val="18"/>
                <w:szCs w:val="20"/>
              </w:rPr>
              <w:t xml:space="preserve"> a éste PPSC</w:t>
            </w:r>
          </w:p>
        </w:tc>
        <w:tc>
          <w:tcPr>
            <w:tcW w:w="1559" w:type="dxa"/>
            <w:vMerge w:val="restart"/>
          </w:tcPr>
          <w:p w:rsidR="0042122F" w:rsidRPr="006F1A5C" w:rsidRDefault="0042122F" w:rsidP="006F1A5C">
            <w:pPr>
              <w:jc w:val="center"/>
              <w:rPr>
                <w:sz w:val="18"/>
              </w:rPr>
            </w:pPr>
          </w:p>
        </w:tc>
      </w:tr>
      <w:tr w:rsidR="0042122F" w:rsidTr="00BA1FFD">
        <w:trPr>
          <w:trHeight w:val="70"/>
        </w:trPr>
        <w:tc>
          <w:tcPr>
            <w:tcW w:w="1526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Combustible mensual que consumen los vehículos empleados para éste PPSC</w:t>
            </w:r>
          </w:p>
        </w:tc>
        <w:tc>
          <w:tcPr>
            <w:tcW w:w="992" w:type="dxa"/>
          </w:tcPr>
          <w:p w:rsidR="00641E7D" w:rsidRPr="00FF63B4" w:rsidRDefault="00EB093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6</w:t>
            </w:r>
            <w:r w:rsidR="00213EC1">
              <w:rPr>
                <w:rFonts w:ascii="Arial" w:hAnsi="Arial" w:cs="Arial"/>
                <w:sz w:val="18"/>
                <w:szCs w:val="20"/>
              </w:rPr>
              <w:t>00</w:t>
            </w: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  <w:tr w:rsidR="0042122F" w:rsidTr="000611D6">
        <w:tc>
          <w:tcPr>
            <w:tcW w:w="1526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Computadoras empleadas para éste PPSC</w:t>
            </w:r>
          </w:p>
        </w:tc>
        <w:tc>
          <w:tcPr>
            <w:tcW w:w="992" w:type="dxa"/>
          </w:tcPr>
          <w:p w:rsidR="0042122F" w:rsidRPr="00FF63B4" w:rsidRDefault="00EB093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05</w:t>
            </w: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</w:tbl>
    <w:p w:rsidR="0042122F" w:rsidRDefault="0042122F" w:rsidP="0042122F">
      <w:pPr>
        <w:rPr>
          <w:i/>
          <w:sz w:val="16"/>
        </w:rPr>
      </w:pPr>
    </w:p>
    <w:p w:rsidR="0042122F" w:rsidRPr="007031DE" w:rsidRDefault="0042122F" w:rsidP="00212E94">
      <w:pPr>
        <w:rPr>
          <w:i/>
          <w:sz w:val="16"/>
        </w:rPr>
      </w:pPr>
    </w:p>
    <w:sectPr w:rsidR="0042122F" w:rsidRPr="007031DE" w:rsidSect="00212E94"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B4F" w:rsidRDefault="00150B4F" w:rsidP="00831F7E">
      <w:pPr>
        <w:spacing w:after="0" w:line="240" w:lineRule="auto"/>
      </w:pPr>
      <w:r>
        <w:separator/>
      </w:r>
    </w:p>
  </w:endnote>
  <w:endnote w:type="continuationSeparator" w:id="0">
    <w:p w:rsidR="00150B4F" w:rsidRDefault="00150B4F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B4F" w:rsidRDefault="00150B4F" w:rsidP="00831F7E">
      <w:pPr>
        <w:spacing w:after="0" w:line="240" w:lineRule="auto"/>
      </w:pPr>
      <w:r>
        <w:separator/>
      </w:r>
    </w:p>
  </w:footnote>
  <w:footnote w:type="continuationSeparator" w:id="0">
    <w:p w:rsidR="00150B4F" w:rsidRDefault="00150B4F" w:rsidP="00831F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D0527C"/>
    <w:multiLevelType w:val="hybridMultilevel"/>
    <w:tmpl w:val="35FED47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AF"/>
    <w:rsid w:val="00007BAF"/>
    <w:rsid w:val="00014AA8"/>
    <w:rsid w:val="0003322C"/>
    <w:rsid w:val="000473B9"/>
    <w:rsid w:val="00047523"/>
    <w:rsid w:val="00077A68"/>
    <w:rsid w:val="00094BAF"/>
    <w:rsid w:val="000C70C7"/>
    <w:rsid w:val="000D0701"/>
    <w:rsid w:val="000D5483"/>
    <w:rsid w:val="000D76A0"/>
    <w:rsid w:val="000F14EB"/>
    <w:rsid w:val="00115B5F"/>
    <w:rsid w:val="00120CFF"/>
    <w:rsid w:val="00121462"/>
    <w:rsid w:val="00125356"/>
    <w:rsid w:val="00135926"/>
    <w:rsid w:val="00145F76"/>
    <w:rsid w:val="00150B4F"/>
    <w:rsid w:val="0015123E"/>
    <w:rsid w:val="00153BBB"/>
    <w:rsid w:val="00163AC8"/>
    <w:rsid w:val="00191343"/>
    <w:rsid w:val="00195B59"/>
    <w:rsid w:val="001A5139"/>
    <w:rsid w:val="001D4395"/>
    <w:rsid w:val="001D4E0E"/>
    <w:rsid w:val="001F5482"/>
    <w:rsid w:val="001F5B4A"/>
    <w:rsid w:val="00212E94"/>
    <w:rsid w:val="00213EC1"/>
    <w:rsid w:val="0021498C"/>
    <w:rsid w:val="0022207C"/>
    <w:rsid w:val="00244BBA"/>
    <w:rsid w:val="00283259"/>
    <w:rsid w:val="002B2543"/>
    <w:rsid w:val="002B502E"/>
    <w:rsid w:val="002C48EE"/>
    <w:rsid w:val="002E08B6"/>
    <w:rsid w:val="00354265"/>
    <w:rsid w:val="0035529E"/>
    <w:rsid w:val="0038034B"/>
    <w:rsid w:val="00392920"/>
    <w:rsid w:val="00393FB9"/>
    <w:rsid w:val="003978F6"/>
    <w:rsid w:val="003C3CFD"/>
    <w:rsid w:val="003C3FD5"/>
    <w:rsid w:val="003F1857"/>
    <w:rsid w:val="00414D92"/>
    <w:rsid w:val="00415510"/>
    <w:rsid w:val="0042122F"/>
    <w:rsid w:val="004840BF"/>
    <w:rsid w:val="00485EB9"/>
    <w:rsid w:val="004A06C5"/>
    <w:rsid w:val="004B17E0"/>
    <w:rsid w:val="004D56C6"/>
    <w:rsid w:val="004D73DA"/>
    <w:rsid w:val="004E1777"/>
    <w:rsid w:val="004E5503"/>
    <w:rsid w:val="00506A61"/>
    <w:rsid w:val="00506AA6"/>
    <w:rsid w:val="00507023"/>
    <w:rsid w:val="005123AF"/>
    <w:rsid w:val="00512550"/>
    <w:rsid w:val="005132E8"/>
    <w:rsid w:val="00514D9D"/>
    <w:rsid w:val="00514EB9"/>
    <w:rsid w:val="00541F08"/>
    <w:rsid w:val="00542487"/>
    <w:rsid w:val="005461F3"/>
    <w:rsid w:val="005478E1"/>
    <w:rsid w:val="00556712"/>
    <w:rsid w:val="005608FF"/>
    <w:rsid w:val="00571D3D"/>
    <w:rsid w:val="005732E8"/>
    <w:rsid w:val="005739F5"/>
    <w:rsid w:val="00597192"/>
    <w:rsid w:val="005A4501"/>
    <w:rsid w:val="005A48A2"/>
    <w:rsid w:val="005B6A6B"/>
    <w:rsid w:val="005B7B26"/>
    <w:rsid w:val="005C6958"/>
    <w:rsid w:val="005D6B0E"/>
    <w:rsid w:val="005E58EB"/>
    <w:rsid w:val="005F04CD"/>
    <w:rsid w:val="006235EC"/>
    <w:rsid w:val="00640878"/>
    <w:rsid w:val="00641E7D"/>
    <w:rsid w:val="00650F82"/>
    <w:rsid w:val="00663511"/>
    <w:rsid w:val="006637AB"/>
    <w:rsid w:val="00663E7F"/>
    <w:rsid w:val="0068316A"/>
    <w:rsid w:val="00691B6A"/>
    <w:rsid w:val="00697266"/>
    <w:rsid w:val="006C4E80"/>
    <w:rsid w:val="006E48D8"/>
    <w:rsid w:val="006F0539"/>
    <w:rsid w:val="006F1A5C"/>
    <w:rsid w:val="00700C4B"/>
    <w:rsid w:val="007031DE"/>
    <w:rsid w:val="00741539"/>
    <w:rsid w:val="00762157"/>
    <w:rsid w:val="00775E30"/>
    <w:rsid w:val="0078123F"/>
    <w:rsid w:val="00787617"/>
    <w:rsid w:val="00790DFE"/>
    <w:rsid w:val="00794ACD"/>
    <w:rsid w:val="007E1B4E"/>
    <w:rsid w:val="00803C8A"/>
    <w:rsid w:val="00831976"/>
    <w:rsid w:val="00831F7E"/>
    <w:rsid w:val="00865183"/>
    <w:rsid w:val="008823BE"/>
    <w:rsid w:val="00885259"/>
    <w:rsid w:val="00886736"/>
    <w:rsid w:val="008B03B5"/>
    <w:rsid w:val="008C7542"/>
    <w:rsid w:val="008D1CEE"/>
    <w:rsid w:val="008D3779"/>
    <w:rsid w:val="008D3FDC"/>
    <w:rsid w:val="00901996"/>
    <w:rsid w:val="009109C2"/>
    <w:rsid w:val="009170D4"/>
    <w:rsid w:val="009269F6"/>
    <w:rsid w:val="00932A7F"/>
    <w:rsid w:val="00937132"/>
    <w:rsid w:val="0095054C"/>
    <w:rsid w:val="0095351C"/>
    <w:rsid w:val="00992D78"/>
    <w:rsid w:val="009B06DF"/>
    <w:rsid w:val="009B17BA"/>
    <w:rsid w:val="009C363D"/>
    <w:rsid w:val="009D50F8"/>
    <w:rsid w:val="009E163A"/>
    <w:rsid w:val="009F50FA"/>
    <w:rsid w:val="00A00F82"/>
    <w:rsid w:val="00A01DCA"/>
    <w:rsid w:val="00A02C41"/>
    <w:rsid w:val="00A25173"/>
    <w:rsid w:val="00A316F5"/>
    <w:rsid w:val="00A43C95"/>
    <w:rsid w:val="00A465A0"/>
    <w:rsid w:val="00A53855"/>
    <w:rsid w:val="00A54029"/>
    <w:rsid w:val="00A57343"/>
    <w:rsid w:val="00A65F50"/>
    <w:rsid w:val="00AA4922"/>
    <w:rsid w:val="00AB52C1"/>
    <w:rsid w:val="00AC0560"/>
    <w:rsid w:val="00AD4ED4"/>
    <w:rsid w:val="00AD667C"/>
    <w:rsid w:val="00AF641E"/>
    <w:rsid w:val="00AF730C"/>
    <w:rsid w:val="00B1501F"/>
    <w:rsid w:val="00B44A80"/>
    <w:rsid w:val="00B71F35"/>
    <w:rsid w:val="00B921CD"/>
    <w:rsid w:val="00BA1FFD"/>
    <w:rsid w:val="00BE28A4"/>
    <w:rsid w:val="00BF4795"/>
    <w:rsid w:val="00C12013"/>
    <w:rsid w:val="00C3208D"/>
    <w:rsid w:val="00C53B7F"/>
    <w:rsid w:val="00C970F5"/>
    <w:rsid w:val="00CF2FED"/>
    <w:rsid w:val="00D22792"/>
    <w:rsid w:val="00D3511F"/>
    <w:rsid w:val="00D50738"/>
    <w:rsid w:val="00D81A12"/>
    <w:rsid w:val="00DA1F68"/>
    <w:rsid w:val="00DB0FA4"/>
    <w:rsid w:val="00DC13B1"/>
    <w:rsid w:val="00DC1D18"/>
    <w:rsid w:val="00DF3242"/>
    <w:rsid w:val="00E0231C"/>
    <w:rsid w:val="00E30C7A"/>
    <w:rsid w:val="00E32044"/>
    <w:rsid w:val="00E57798"/>
    <w:rsid w:val="00E6571B"/>
    <w:rsid w:val="00E81D19"/>
    <w:rsid w:val="00E82C33"/>
    <w:rsid w:val="00EB093F"/>
    <w:rsid w:val="00EB3B96"/>
    <w:rsid w:val="00ED521E"/>
    <w:rsid w:val="00EF78FF"/>
    <w:rsid w:val="00F13C60"/>
    <w:rsid w:val="00F150E9"/>
    <w:rsid w:val="00F42F74"/>
    <w:rsid w:val="00F44230"/>
    <w:rsid w:val="00F542C1"/>
    <w:rsid w:val="00F8764B"/>
    <w:rsid w:val="00F94878"/>
    <w:rsid w:val="00F94AD3"/>
    <w:rsid w:val="00FA0FEA"/>
    <w:rsid w:val="00FA4CA7"/>
    <w:rsid w:val="00FA5E7E"/>
    <w:rsid w:val="00FF5426"/>
    <w:rsid w:val="00FF63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F83BBC-3B24-405E-B121-4F07B5ABB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0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paragraph" w:styleId="Prrafodelista">
    <w:name w:val="List Paragraph"/>
    <w:basedOn w:val="Normal"/>
    <w:uiPriority w:val="34"/>
    <w:qFormat/>
    <w:rsid w:val="003929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696</Words>
  <Characters>3832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Laura Perez</cp:lastModifiedBy>
  <cp:revision>2</cp:revision>
  <cp:lastPrinted>2016-06-21T16:36:00Z</cp:lastPrinted>
  <dcterms:created xsi:type="dcterms:W3CDTF">2017-09-04T17:03:00Z</dcterms:created>
  <dcterms:modified xsi:type="dcterms:W3CDTF">2017-09-04T17:03:00Z</dcterms:modified>
</cp:coreProperties>
</file>