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AE071D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CD3748" w:rsidRPr="00AE071D">
        <w:rPr>
          <w:rFonts w:ascii="Century Gothic" w:eastAsia="Times New Roman" w:hAnsi="Century Gothic" w:cs="Times New Roman"/>
          <w:b/>
          <w:lang w:eastAsia="es-MX"/>
        </w:rPr>
        <w:t xml:space="preserve"> ESPECÍFICOS</w:t>
      </w:r>
      <w:r w:rsidRPr="00AE071D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9C7DED" w:rsidRPr="00AE071D" w:rsidRDefault="009C7DE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BANCO DE MATERIAL.</w:t>
      </w:r>
    </w:p>
    <w:p w:rsidR="00EF2C50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AE071D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AE071D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B73A81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AE071D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ESPECÍFICOS.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proyectos,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1B257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Banco de Material</w:t>
      </w:r>
      <w:r w:rsidR="0013688A" w:rsidRPr="00AE071D">
        <w:rPr>
          <w:rFonts w:ascii="Century Gothic" w:hAnsi="Century Gothic"/>
          <w:sz w:val="18"/>
          <w:szCs w:val="18"/>
        </w:rPr>
        <w:t>.</w:t>
      </w:r>
    </w:p>
    <w:p w:rsidR="007F0A1C" w:rsidRPr="00AE071D" w:rsidRDefault="007F0A1C" w:rsidP="008D791C">
      <w:pPr>
        <w:spacing w:after="0" w:line="240" w:lineRule="auto"/>
        <w:jc w:val="both"/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Obligación</w:t>
      </w:r>
      <w:r w:rsidR="0013688A" w:rsidRPr="00AE071D">
        <w:rPr>
          <w:rFonts w:ascii="Century Gothic" w:hAnsi="Century Gothic"/>
          <w:sz w:val="18"/>
          <w:szCs w:val="18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5D1796" w:rsidRPr="00AE071D" w:rsidRDefault="008F0D3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Generar  un desarrollo urbano ordenado, enfocado a mejorar la calidad de los habitantes del municipio</w:t>
      </w:r>
      <w:r w:rsidR="00CD3748" w:rsidRPr="00AE071D">
        <w:rPr>
          <w:rFonts w:ascii="Century Gothic" w:hAnsi="Century Gothic"/>
          <w:sz w:val="18"/>
          <w:szCs w:val="18"/>
        </w:rPr>
        <w:t>.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AE071D">
        <w:rPr>
          <w:rFonts w:ascii="Century Gothic" w:hAnsi="Century Gothic"/>
          <w:b/>
          <w:sz w:val="18"/>
          <w:szCs w:val="18"/>
        </w:rPr>
        <w:t>.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Formato ingresado en ventanilla</w:t>
      </w:r>
      <w:r w:rsidR="008334AD" w:rsidRPr="00AE071D">
        <w:rPr>
          <w:rFonts w:ascii="Century Gothic" w:hAnsi="Century Gothic"/>
          <w:sz w:val="18"/>
          <w:szCs w:val="18"/>
        </w:rPr>
        <w:t>.</w:t>
      </w:r>
      <w:r w:rsidR="00446B63" w:rsidRPr="00AE071D">
        <w:rPr>
          <w:rFonts w:ascii="Century Gothic" w:hAnsi="Century Gothic"/>
          <w:sz w:val="18"/>
          <w:szCs w:val="18"/>
        </w:rPr>
        <w:t xml:space="preserve"> (</w:t>
      </w:r>
      <w:r w:rsidR="00B73A81" w:rsidRPr="00AE071D">
        <w:rPr>
          <w:rFonts w:ascii="Century Gothic" w:hAnsi="Century Gothic"/>
          <w:sz w:val="18"/>
          <w:szCs w:val="18"/>
        </w:rPr>
        <w:t>Se</w:t>
      </w:r>
      <w:r w:rsidR="00446B63" w:rsidRPr="00AE071D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B73A81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AE071D">
        <w:rPr>
          <w:rFonts w:ascii="Century Gothic" w:hAnsi="Century Gothic"/>
          <w:b/>
          <w:sz w:val="18"/>
          <w:szCs w:val="18"/>
        </w:rPr>
        <w:t>:</w:t>
      </w:r>
    </w:p>
    <w:p w:rsidR="00C42F9D" w:rsidRPr="00AE071D" w:rsidRDefault="00C42F9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Promotor</w:t>
      </w:r>
      <w:r w:rsidR="008F0D3E" w:rsidRPr="00AE071D">
        <w:rPr>
          <w:rFonts w:ascii="Century Gothic" w:hAnsi="Century Gothic"/>
          <w:sz w:val="18"/>
          <w:szCs w:val="18"/>
        </w:rPr>
        <w:t xml:space="preserve"> o Propietario</w:t>
      </w:r>
      <w:r w:rsidRPr="00AE071D">
        <w:rPr>
          <w:rFonts w:ascii="Century Gothic" w:hAnsi="Century Gothic"/>
          <w:sz w:val="18"/>
          <w:szCs w:val="18"/>
        </w:rPr>
        <w:t>:</w:t>
      </w:r>
    </w:p>
    <w:p w:rsidR="00C42F9D" w:rsidRPr="00AE071D" w:rsidRDefault="00C42F9D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AE071D" w:rsidRDefault="00C42F9D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AE071D" w:rsidRDefault="00A05E58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AE071D" w:rsidRDefault="00AE071D" w:rsidP="00AE071D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C42F9D" w:rsidRPr="00AE071D" w:rsidRDefault="00C42F9D" w:rsidP="00AE071D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del predio: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a desarrollar.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construida existente.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Uso solicitado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Descripción de la actividad a desarrollar.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ubicación.</w:t>
      </w:r>
    </w:p>
    <w:p w:rsidR="00C42F9D" w:rsidRPr="00AE071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Observaciones.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Copia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082D25" w:rsidRPr="00005E56" w:rsidRDefault="008F0D3E" w:rsidP="00005E56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082D25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13688A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IFE</w:t>
      </w:r>
      <w:r w:rsidR="00082D25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, pasaporte, cartilla militar o cedula </w:t>
      </w:r>
      <w:r w:rsidR="00B73A81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Prof.</w:t>
      </w:r>
      <w:bookmarkStart w:id="0" w:name="_GoBack"/>
      <w:bookmarkEnd w:id="0"/>
      <w:r w:rsidR="00082D25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).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Fotografía  de la fachada completa con parte de los colindantes de la finca, y una </w:t>
      </w:r>
      <w:r w:rsidR="00391C11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del </w:t>
      </w:r>
      <w:r w:rsidR="00CD3748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interior de la finca.</w:t>
      </w:r>
    </w:p>
    <w:p w:rsidR="0013688A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del recibo de pago por los derechos correspondientes. </w:t>
      </w:r>
    </w:p>
    <w:p w:rsidR="008F0D3E" w:rsidRPr="00AE071D" w:rsidRDefault="008F0D3E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Carta poder en caso de que el promotor no sea el propietario.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AE071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1,305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1A274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7253A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Una semana</w:t>
      </w:r>
      <w:r w:rsidR="00A05E58" w:rsidRPr="00AE071D">
        <w:rPr>
          <w:rFonts w:ascii="Century Gothic" w:hAnsi="Century Gothic"/>
          <w:sz w:val="18"/>
          <w:szCs w:val="18"/>
        </w:rPr>
        <w:t xml:space="preserve">. </w:t>
      </w:r>
      <w:r w:rsidR="00082D25" w:rsidRPr="00AE071D">
        <w:rPr>
          <w:rFonts w:ascii="Century Gothic" w:hAnsi="Century Gothic"/>
          <w:sz w:val="18"/>
          <w:szCs w:val="18"/>
        </w:rPr>
        <w:t xml:space="preserve"> 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8D791C" w:rsidRPr="00AE071D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</w:t>
      </w:r>
    </w:p>
    <w:p w:rsidR="007F0A1C" w:rsidRPr="00AE071D" w:rsidRDefault="007F0A1C" w:rsidP="008D791C">
      <w:pPr>
        <w:spacing w:after="0" w:line="240" w:lineRule="auto"/>
        <w:jc w:val="both"/>
        <w:rPr>
          <w:b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 xml:space="preserve">: </w:t>
      </w:r>
    </w:p>
    <w:p w:rsidR="00A05E58" w:rsidRPr="00AE071D" w:rsidRDefault="006D2EC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aplica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6D2EC6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AE071D" w:rsidRDefault="008D791C" w:rsidP="008D791C">
      <w:pPr>
        <w:spacing w:after="0" w:line="240" w:lineRule="auto"/>
        <w:jc w:val="both"/>
      </w:pPr>
    </w:p>
    <w:p w:rsidR="00092372" w:rsidRPr="00AE071D" w:rsidRDefault="00092372" w:rsidP="008D791C">
      <w:pPr>
        <w:spacing w:after="0" w:line="240" w:lineRule="auto"/>
        <w:jc w:val="both"/>
      </w:pPr>
    </w:p>
    <w:p w:rsidR="00092372" w:rsidRPr="00AE071D" w:rsidRDefault="00092372" w:rsidP="008D791C">
      <w:pPr>
        <w:spacing w:after="0" w:line="240" w:lineRule="auto"/>
        <w:jc w:val="both"/>
      </w:pPr>
    </w:p>
    <w:p w:rsidR="00092372" w:rsidRPr="00AE071D" w:rsidRDefault="00092372" w:rsidP="008D791C">
      <w:pPr>
        <w:spacing w:after="0" w:line="240" w:lineRule="auto"/>
        <w:jc w:val="both"/>
      </w:pPr>
    </w:p>
    <w:p w:rsidR="002C1FFA" w:rsidRPr="00AE071D" w:rsidRDefault="00B73A81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AE071D">
        <w:rPr>
          <w:b/>
        </w:rPr>
        <w:t>:</w:t>
      </w:r>
    </w:p>
    <w:p w:rsidR="006D2EC6" w:rsidRPr="00AE071D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Dictamen.</w:t>
      </w:r>
    </w:p>
    <w:p w:rsidR="007F0A1C" w:rsidRPr="00AE071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AE071D">
        <w:rPr>
          <w:rFonts w:ascii="Century Gothic" w:eastAsia="Calibri" w:hAnsi="Century Gothic" w:cs="Times New Roman"/>
          <w:sz w:val="18"/>
          <w:szCs w:val="18"/>
        </w:rPr>
        <w:tab/>
        <w:t>deriva</w:t>
      </w:r>
      <w:r w:rsidRPr="00AE071D">
        <w:rPr>
          <w:rFonts w:ascii="Century Gothic" w:hAnsi="Century Gothic"/>
          <w:sz w:val="18"/>
          <w:szCs w:val="18"/>
        </w:rPr>
        <w:t>.</w:t>
      </w:r>
    </w:p>
    <w:p w:rsidR="00085ACB" w:rsidRPr="00AE071D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8F0D3E" w:rsidRPr="00AE071D" w:rsidRDefault="008F0D3E" w:rsidP="008F0D3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Se verifica</w:t>
      </w:r>
      <w:r w:rsidR="00CB736F" w:rsidRPr="00AE071D">
        <w:rPr>
          <w:rFonts w:ascii="Century Gothic" w:hAnsi="Century Gothic"/>
          <w:sz w:val="18"/>
          <w:szCs w:val="18"/>
        </w:rPr>
        <w:t>n</w:t>
      </w:r>
      <w:r w:rsidRPr="00AE071D">
        <w:rPr>
          <w:rFonts w:ascii="Century Gothic" w:hAnsi="Century Gothic"/>
          <w:sz w:val="18"/>
          <w:szCs w:val="18"/>
        </w:rPr>
        <w:t xml:space="preserve"> las  disposiciones aplicables al desarrollo, con fundamento en las leyes, reglamentos e instrumentos de planeación y de ordenamiento del territorio vigentes.</w:t>
      </w:r>
    </w:p>
    <w:p w:rsidR="00085ACB" w:rsidRPr="00AE071D" w:rsidRDefault="00085ACB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B73A81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294FE0" w:rsidRPr="00AE071D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I.</w:t>
      </w: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d. Titulo: Segundo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e. Capitulo: III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f. Sección: Primera</w:t>
      </w:r>
    </w:p>
    <w:p w:rsidR="00294FE0" w:rsidRPr="00AE071D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ab/>
      </w:r>
    </w:p>
    <w:p w:rsidR="00294FE0" w:rsidRPr="00AE071D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AE071D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II. </w:t>
      </w:r>
      <w:r w:rsidRPr="00AE071D">
        <w:rPr>
          <w:rFonts w:ascii="Century Gothic" w:hAnsi="Century Gothic"/>
          <w:sz w:val="18"/>
          <w:szCs w:val="18"/>
        </w:rPr>
        <w:tab/>
      </w:r>
      <w:r w:rsidR="00294FE0" w:rsidRPr="00AE071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AE071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AE071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AE071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d. Titulo: </w:t>
      </w:r>
      <w:r w:rsidR="007C079E" w:rsidRPr="00AE071D">
        <w:rPr>
          <w:rFonts w:ascii="Century Gothic" w:hAnsi="Century Gothic"/>
          <w:sz w:val="18"/>
          <w:szCs w:val="18"/>
        </w:rPr>
        <w:t>Noveno</w:t>
      </w:r>
    </w:p>
    <w:p w:rsidR="00294FE0" w:rsidRPr="00AE071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e. Capitulo: </w:t>
      </w:r>
      <w:r w:rsidR="007C079E" w:rsidRPr="00AE071D">
        <w:rPr>
          <w:rFonts w:ascii="Century Gothic" w:hAnsi="Century Gothic"/>
          <w:sz w:val="18"/>
          <w:szCs w:val="18"/>
        </w:rPr>
        <w:t>IV</w:t>
      </w:r>
    </w:p>
    <w:p w:rsidR="00AE071D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f. Sección: </w:t>
      </w:r>
      <w:r w:rsidR="007C079E" w:rsidRPr="00AE071D">
        <w:rPr>
          <w:rFonts w:ascii="Century Gothic" w:hAnsi="Century Gothic"/>
          <w:sz w:val="18"/>
          <w:szCs w:val="18"/>
        </w:rPr>
        <w:t>no aplica</w:t>
      </w:r>
    </w:p>
    <w:p w:rsidR="00AE071D" w:rsidRDefault="00AE071D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EE2089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III. </w:t>
      </w:r>
      <w:r w:rsidRPr="00AE071D">
        <w:rPr>
          <w:rFonts w:ascii="Century Gothic" w:hAnsi="Century Gothic"/>
          <w:sz w:val="18"/>
          <w:szCs w:val="18"/>
        </w:rPr>
        <w:tab/>
      </w:r>
      <w:r w:rsidR="007C079E" w:rsidRPr="00AE071D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b. Tipo de Ordenamiento: Código.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d. Titulo: Decimo Segundo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e. Capitulo: III</w:t>
      </w:r>
    </w:p>
    <w:p w:rsidR="007C079E" w:rsidRPr="00AE071D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f. Sección: no aplica</w:t>
      </w: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EE2089" w:rsidP="00AE071D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IV. </w:t>
      </w:r>
      <w:r w:rsidRPr="00AE071D">
        <w:rPr>
          <w:rFonts w:ascii="Century Gothic" w:hAnsi="Century Gothic"/>
          <w:sz w:val="18"/>
          <w:szCs w:val="18"/>
        </w:rPr>
        <w:tab/>
      </w:r>
      <w:r w:rsidR="007C079E" w:rsidRPr="00AE071D">
        <w:rPr>
          <w:rFonts w:ascii="Century Gothic" w:hAnsi="Century Gothic"/>
          <w:sz w:val="18"/>
          <w:szCs w:val="18"/>
        </w:rPr>
        <w:t>a. Ámbito de Ordenamiento: Ordenamiento Municipal.</w:t>
      </w:r>
    </w:p>
    <w:p w:rsidR="007C079E" w:rsidRPr="00AE071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b. Tipo de Ordenamiento: Reglamento.</w:t>
      </w:r>
    </w:p>
    <w:p w:rsidR="007C079E" w:rsidRPr="00AE071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c. Nombre del Ordenamiento: Reglamento Estatal de Zonificación.</w:t>
      </w:r>
    </w:p>
    <w:p w:rsidR="007C079E" w:rsidRPr="00AE071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d. Titulo: Primero.</w:t>
      </w:r>
    </w:p>
    <w:p w:rsidR="007C079E" w:rsidRPr="00AE071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e. Capitulo: III</w:t>
      </w:r>
    </w:p>
    <w:p w:rsidR="007C079E" w:rsidRPr="00AE071D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f. Sección: no aplica</w:t>
      </w: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B73A81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AE071D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B73A81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AE071D">
        <w:rPr>
          <w:b/>
        </w:rPr>
        <w:t>.</w:t>
      </w:r>
    </w:p>
    <w:p w:rsid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46359B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B73A81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AE071D">
        <w:rPr>
          <w:rFonts w:ascii="Century Gothic" w:hAnsi="Century Gothic"/>
          <w:sz w:val="18"/>
          <w:szCs w:val="18"/>
        </w:rPr>
        <w:t>.</w:t>
      </w:r>
    </w:p>
    <w:p w:rsidR="0077115A" w:rsidRPr="00AE071D" w:rsidRDefault="0077115A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AC38D7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EE2089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Recurso de R</w:t>
      </w:r>
      <w:r w:rsidR="00CD3748" w:rsidRPr="00AE071D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AE071D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AE071D" w:rsidSect="00C2503C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05E56"/>
    <w:rsid w:val="00053D20"/>
    <w:rsid w:val="00082D25"/>
    <w:rsid w:val="00085ACB"/>
    <w:rsid w:val="00092372"/>
    <w:rsid w:val="00110195"/>
    <w:rsid w:val="0013688A"/>
    <w:rsid w:val="00157DEE"/>
    <w:rsid w:val="00174F7F"/>
    <w:rsid w:val="001A274E"/>
    <w:rsid w:val="001B257C"/>
    <w:rsid w:val="00204BDF"/>
    <w:rsid w:val="0024677B"/>
    <w:rsid w:val="00294FE0"/>
    <w:rsid w:val="002C1FFA"/>
    <w:rsid w:val="0030757C"/>
    <w:rsid w:val="003356E6"/>
    <w:rsid w:val="00391C11"/>
    <w:rsid w:val="003D4827"/>
    <w:rsid w:val="00446B63"/>
    <w:rsid w:val="0046359B"/>
    <w:rsid w:val="004E3492"/>
    <w:rsid w:val="00521A90"/>
    <w:rsid w:val="005D1796"/>
    <w:rsid w:val="00641371"/>
    <w:rsid w:val="006D2EC6"/>
    <w:rsid w:val="006D3E8E"/>
    <w:rsid w:val="007253A5"/>
    <w:rsid w:val="0077115A"/>
    <w:rsid w:val="007C079E"/>
    <w:rsid w:val="007C6E8A"/>
    <w:rsid w:val="007F0A1C"/>
    <w:rsid w:val="008334AD"/>
    <w:rsid w:val="00835CE5"/>
    <w:rsid w:val="008D791C"/>
    <w:rsid w:val="008F0D3E"/>
    <w:rsid w:val="00965BAD"/>
    <w:rsid w:val="009C7DED"/>
    <w:rsid w:val="00A002C0"/>
    <w:rsid w:val="00A05E58"/>
    <w:rsid w:val="00A26741"/>
    <w:rsid w:val="00A26B54"/>
    <w:rsid w:val="00A3034D"/>
    <w:rsid w:val="00AC38D7"/>
    <w:rsid w:val="00AD3671"/>
    <w:rsid w:val="00AE071D"/>
    <w:rsid w:val="00B57CEF"/>
    <w:rsid w:val="00B73A81"/>
    <w:rsid w:val="00B91DB9"/>
    <w:rsid w:val="00C2503C"/>
    <w:rsid w:val="00C338AA"/>
    <w:rsid w:val="00C42F9D"/>
    <w:rsid w:val="00CB65D5"/>
    <w:rsid w:val="00CB736F"/>
    <w:rsid w:val="00CD3748"/>
    <w:rsid w:val="00D062F8"/>
    <w:rsid w:val="00DC2FB8"/>
    <w:rsid w:val="00DF59B6"/>
    <w:rsid w:val="00E15363"/>
    <w:rsid w:val="00E33554"/>
    <w:rsid w:val="00EE2089"/>
    <w:rsid w:val="00EF2C50"/>
    <w:rsid w:val="00F7332F"/>
    <w:rsid w:val="00FC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65803-8A12-4C9B-8E2F-8720E1D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18</cp:revision>
  <cp:lastPrinted>2017-09-05T19:13:00Z</cp:lastPrinted>
  <dcterms:created xsi:type="dcterms:W3CDTF">2017-09-05T17:22:00Z</dcterms:created>
  <dcterms:modified xsi:type="dcterms:W3CDTF">2021-09-06T17:30:00Z</dcterms:modified>
</cp:coreProperties>
</file>