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0A1CE3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0A1CE3">
        <w:rPr>
          <w:rFonts w:ascii="Century Gothic" w:eastAsia="Times New Roman" w:hAnsi="Century Gothic" w:cs="Times New Roman"/>
          <w:b/>
          <w:lang w:eastAsia="es-MX"/>
        </w:rPr>
        <w:t xml:space="preserve">DICTAMEN DE </w:t>
      </w:r>
      <w:r w:rsidR="00B439D0" w:rsidRPr="000A1CE3">
        <w:rPr>
          <w:rFonts w:ascii="Century Gothic" w:eastAsia="Times New Roman" w:hAnsi="Century Gothic" w:cs="Times New Roman"/>
          <w:b/>
          <w:lang w:eastAsia="es-MX"/>
        </w:rPr>
        <w:t>TOLERANCIA PARA CONSTRUCCIÓN SOBRE RESTRICCIONES</w:t>
      </w:r>
      <w:r w:rsidRPr="000A1CE3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EF2C50" w:rsidRPr="000A1CE3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0A1CE3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0A1CE3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0A1CE3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0A1CE3" w:rsidRDefault="006D3E8E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6D5706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rá</w:t>
      </w:r>
      <w:r w:rsidR="00965BAD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mite</w:t>
      </w:r>
      <w:r w:rsidR="0013688A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B91DB9" w:rsidRPr="000A1CE3" w:rsidRDefault="00B91DB9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0A1CE3" w:rsidRDefault="002C1FFA" w:rsidP="00B91DB9">
      <w:pPr>
        <w:spacing w:after="0" w:line="240" w:lineRule="exact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0A1CE3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0A1CE3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0A1CE3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proofErr w:type="gramStart"/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proofErr w:type="gramEnd"/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0A1CE3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0A1CE3" w:rsidRDefault="006D570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TOLERANCIA PARA LA CONSTRUCCIÓN SOBRE RESTRICCIONES.</w:t>
      </w:r>
    </w:p>
    <w:p w:rsidR="00B439D0" w:rsidRPr="000A1CE3" w:rsidRDefault="00B439D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0A1CE3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204BDF" w:rsidRPr="000A1CE3" w:rsidRDefault="006D570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V</w:t>
      </w:r>
      <w:r w:rsidR="00B439D0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aloración del proyecto y análisis del entorno para permitir o prohibir la construcción sobre restricciones frontales, laterales o posteriores</w:t>
      </w:r>
      <w:r w:rsidR="004668BF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.  </w:t>
      </w: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0A1CE3">
        <w:rPr>
          <w:rFonts w:ascii="Century Gothic" w:hAnsi="Century Gothic"/>
          <w:b/>
          <w:sz w:val="18"/>
          <w:szCs w:val="18"/>
        </w:rPr>
        <w:t>:</w:t>
      </w:r>
    </w:p>
    <w:p w:rsidR="00E33554" w:rsidRPr="000A1CE3" w:rsidRDefault="00B439D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No aplica</w:t>
      </w:r>
    </w:p>
    <w:p w:rsidR="007F0A1C" w:rsidRPr="000A1CE3" w:rsidRDefault="007F0A1C" w:rsidP="008D791C">
      <w:pPr>
        <w:spacing w:after="0" w:line="240" w:lineRule="auto"/>
        <w:jc w:val="both"/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0A1CE3">
        <w:rPr>
          <w:rFonts w:ascii="Century Gothic" w:hAnsi="Century Gothic"/>
          <w:b/>
          <w:sz w:val="18"/>
          <w:szCs w:val="18"/>
        </w:rPr>
        <w:t>:</w:t>
      </w:r>
    </w:p>
    <w:p w:rsidR="00E33554" w:rsidRPr="000A1CE3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hAnsi="Century Gothic"/>
          <w:sz w:val="18"/>
          <w:szCs w:val="18"/>
        </w:rPr>
        <w:t>Obligación</w:t>
      </w:r>
      <w:r w:rsidR="0013688A" w:rsidRPr="000A1CE3">
        <w:rPr>
          <w:rFonts w:ascii="Century Gothic" w:hAnsi="Century Gothic"/>
          <w:sz w:val="18"/>
          <w:szCs w:val="18"/>
        </w:rPr>
        <w:t>.</w:t>
      </w:r>
    </w:p>
    <w:p w:rsidR="0013688A" w:rsidRPr="000A1CE3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0A1CE3">
        <w:rPr>
          <w:rFonts w:ascii="Century Gothic" w:hAnsi="Century Gothic"/>
          <w:b/>
          <w:sz w:val="18"/>
          <w:szCs w:val="18"/>
        </w:rPr>
        <w:t>:</w:t>
      </w:r>
    </w:p>
    <w:p w:rsidR="00A002C0" w:rsidRPr="000A1CE3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(</w:t>
      </w:r>
      <w:r w:rsidR="00A002C0" w:rsidRPr="000A1CE3">
        <w:rPr>
          <w:rFonts w:ascii="Century Gothic" w:hAnsi="Century Gothic"/>
          <w:sz w:val="18"/>
          <w:szCs w:val="18"/>
        </w:rPr>
        <w:t>No aplica</w:t>
      </w:r>
      <w:r w:rsidRPr="000A1CE3">
        <w:rPr>
          <w:rFonts w:ascii="Century Gothic" w:hAnsi="Century Gothic"/>
          <w:sz w:val="18"/>
          <w:szCs w:val="18"/>
        </w:rPr>
        <w:t>)</w:t>
      </w:r>
    </w:p>
    <w:p w:rsidR="00E33554" w:rsidRPr="000A1CE3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0A1CE3">
        <w:rPr>
          <w:rFonts w:ascii="Century Gothic" w:hAnsi="Century Gothic"/>
          <w:b/>
          <w:sz w:val="18"/>
          <w:szCs w:val="18"/>
        </w:rPr>
        <w:t>:</w:t>
      </w:r>
    </w:p>
    <w:p w:rsidR="00A002C0" w:rsidRPr="000A1CE3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(</w:t>
      </w:r>
      <w:r w:rsidR="00A002C0" w:rsidRPr="000A1CE3">
        <w:rPr>
          <w:rFonts w:ascii="Century Gothic" w:hAnsi="Century Gothic"/>
          <w:sz w:val="18"/>
          <w:szCs w:val="18"/>
        </w:rPr>
        <w:t>No aplica</w:t>
      </w:r>
      <w:r w:rsidRPr="000A1CE3">
        <w:rPr>
          <w:rFonts w:ascii="Century Gothic" w:hAnsi="Century Gothic"/>
          <w:sz w:val="18"/>
          <w:szCs w:val="18"/>
        </w:rPr>
        <w:t>)</w:t>
      </w:r>
    </w:p>
    <w:p w:rsidR="00A002C0" w:rsidRPr="000A1CE3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0A1CE3">
        <w:rPr>
          <w:rFonts w:ascii="Century Gothic" w:hAnsi="Century Gothic"/>
          <w:b/>
          <w:sz w:val="18"/>
          <w:szCs w:val="18"/>
        </w:rPr>
        <w:t>:</w:t>
      </w:r>
    </w:p>
    <w:p w:rsidR="004668BF" w:rsidRPr="000A1CE3" w:rsidRDefault="004668BF" w:rsidP="004668BF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hAnsi="Century Gothic"/>
          <w:sz w:val="18"/>
          <w:szCs w:val="18"/>
        </w:rPr>
        <w:t>C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onservar y/o mejorar la imagen urbana del entorno, preservar superficie de áreas verdes dentro de las propiedades y garantizar la iluminación y ventilación en las construcciones.</w:t>
      </w:r>
    </w:p>
    <w:p w:rsidR="00B439D0" w:rsidRPr="000A1CE3" w:rsidRDefault="00B439D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0A1CE3">
        <w:rPr>
          <w:rFonts w:ascii="Century Gothic" w:hAnsi="Century Gothic"/>
          <w:b/>
          <w:sz w:val="18"/>
          <w:szCs w:val="18"/>
        </w:rPr>
        <w:t>.</w:t>
      </w:r>
    </w:p>
    <w:p w:rsidR="005D1796" w:rsidRPr="000A1CE3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hAnsi="Century Gothic"/>
          <w:sz w:val="18"/>
          <w:szCs w:val="18"/>
        </w:rPr>
        <w:t>Formato ingresado en ventanilla</w:t>
      </w:r>
      <w:r w:rsidR="008334AD" w:rsidRPr="000A1CE3">
        <w:rPr>
          <w:rFonts w:ascii="Century Gothic" w:hAnsi="Century Gothic"/>
          <w:sz w:val="18"/>
          <w:szCs w:val="18"/>
        </w:rPr>
        <w:t>.</w:t>
      </w:r>
      <w:r w:rsidR="00446B63" w:rsidRPr="000A1CE3">
        <w:rPr>
          <w:rFonts w:ascii="Century Gothic" w:hAnsi="Century Gothic"/>
          <w:sz w:val="18"/>
          <w:szCs w:val="18"/>
        </w:rPr>
        <w:t xml:space="preserve"> (</w:t>
      </w:r>
      <w:proofErr w:type="gramStart"/>
      <w:r w:rsidR="00446B63" w:rsidRPr="000A1CE3">
        <w:rPr>
          <w:rFonts w:ascii="Century Gothic" w:hAnsi="Century Gothic"/>
          <w:sz w:val="18"/>
          <w:szCs w:val="18"/>
        </w:rPr>
        <w:t>se</w:t>
      </w:r>
      <w:proofErr w:type="gramEnd"/>
      <w:r w:rsidR="00446B63" w:rsidRPr="000A1CE3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0A1CE3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0A1CE3">
        <w:rPr>
          <w:rFonts w:ascii="Century Gothic" w:hAnsi="Century Gothic"/>
          <w:b/>
          <w:sz w:val="18"/>
          <w:szCs w:val="18"/>
        </w:rPr>
        <w:t>:</w:t>
      </w:r>
    </w:p>
    <w:p w:rsidR="00C42F9D" w:rsidRPr="000A1CE3" w:rsidRDefault="00C42F9D" w:rsidP="000A1CE3">
      <w:pPr>
        <w:spacing w:after="0" w:line="240" w:lineRule="auto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Promotor</w:t>
      </w:r>
      <w:r w:rsidR="00A322AC" w:rsidRPr="000A1CE3">
        <w:rPr>
          <w:rFonts w:ascii="Century Gothic" w:hAnsi="Century Gothic"/>
          <w:sz w:val="18"/>
          <w:szCs w:val="18"/>
        </w:rPr>
        <w:t xml:space="preserve"> o Propietario</w:t>
      </w:r>
      <w:r w:rsidRPr="000A1CE3">
        <w:rPr>
          <w:rFonts w:ascii="Century Gothic" w:hAnsi="Century Gothic"/>
          <w:sz w:val="18"/>
          <w:szCs w:val="18"/>
        </w:rPr>
        <w:t>:</w:t>
      </w:r>
    </w:p>
    <w:p w:rsidR="00C42F9D" w:rsidRPr="000A1CE3" w:rsidRDefault="00C42F9D" w:rsidP="000A1CE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0A1CE3" w:rsidRDefault="00C42F9D" w:rsidP="000A1CE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C42F9D" w:rsidRPr="000A1CE3" w:rsidRDefault="00A05E58" w:rsidP="000A1CE3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C42F9D" w:rsidRPr="000A1CE3" w:rsidRDefault="00C42F9D" w:rsidP="000A1CE3">
      <w:p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Datos del </w:t>
      </w:r>
      <w:r w:rsidR="00B439D0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Predio o Local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:</w:t>
      </w:r>
    </w:p>
    <w:p w:rsidR="00C42F9D" w:rsidRPr="000A1CE3" w:rsidRDefault="00D4208D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Nombre o razón social</w:t>
      </w:r>
      <w:r w:rsidR="00B439D0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del propietario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D4208D" w:rsidRPr="000A1CE3" w:rsidRDefault="00D4208D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Domicilio.</w:t>
      </w:r>
    </w:p>
    <w:p w:rsidR="00D4208D" w:rsidRPr="000A1CE3" w:rsidRDefault="00DB4BD9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Cruces de calles.</w:t>
      </w:r>
    </w:p>
    <w:p w:rsidR="00C42F9D" w:rsidRPr="000A1CE3" w:rsidRDefault="00C42F9D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0A1CE3" w:rsidRDefault="00C42F9D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a desarrollar</w:t>
      </w:r>
      <w:r w:rsidR="00B439D0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la restricción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465AAD" w:rsidRPr="000A1CE3" w:rsidRDefault="00C42F9D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construida existente.</w:t>
      </w:r>
    </w:p>
    <w:p w:rsidR="00B439D0" w:rsidRPr="000A1CE3" w:rsidRDefault="00B439D0" w:rsidP="000A1CE3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Uso Solicitado o actividad a desarrollar.</w:t>
      </w:r>
    </w:p>
    <w:p w:rsidR="0013688A" w:rsidRPr="000A1CE3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0A1CE3">
        <w:rPr>
          <w:rFonts w:ascii="Century Gothic" w:hAnsi="Century Gothic"/>
          <w:b/>
          <w:sz w:val="18"/>
          <w:szCs w:val="18"/>
        </w:rPr>
        <w:t>:</w:t>
      </w:r>
    </w:p>
    <w:p w:rsidR="00082D25" w:rsidRPr="000A1CE3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0A1CE3" w:rsidRDefault="00082D25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Copia</w:t>
      </w:r>
      <w:r w:rsidR="00465AAD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A322AC" w:rsidRPr="000A1CE3" w:rsidRDefault="00A322AC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297752" w:rsidRPr="00297752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  <w:r w:rsidR="00297752" w:rsidRPr="00005E56">
        <w:rPr>
          <w:rFonts w:ascii="Century Gothic" w:eastAsia="Times New Roman" w:hAnsi="Century Gothic" w:cs="Times New Roman"/>
          <w:sz w:val="18"/>
          <w:szCs w:val="18"/>
          <w:lang w:eastAsia="es-MX"/>
        </w:rPr>
        <w:t>(IFE, pasaporte, cartilla militar o cedula Prof.).</w:t>
      </w:r>
      <w:bookmarkStart w:id="0" w:name="_GoBack"/>
      <w:bookmarkEnd w:id="0"/>
    </w:p>
    <w:p w:rsidR="00F17BAA" w:rsidRPr="000A1CE3" w:rsidRDefault="00F17BAA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Copia simple del título de propiedad o escritura del predio, con copia de la inscripción al Registro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Público   de la Propiedad.</w:t>
      </w:r>
    </w:p>
    <w:p w:rsidR="00F17BAA" w:rsidRPr="000A1CE3" w:rsidRDefault="00F17BAA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Plano arquitectónico por duplicado, a escala,  con el estado actual y propuesto de la finca,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manifestando el área de restricción proyectada para construir</w:t>
      </w:r>
    </w:p>
    <w:p w:rsidR="00F17BAA" w:rsidRPr="000A1CE3" w:rsidRDefault="00F17BAA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tLeast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predio, manifestado en vista aérea (ejemplo: impresión de vista en </w:t>
      </w:r>
      <w:proofErr w:type="spellStart"/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)</w:t>
      </w:r>
    </w:p>
    <w:p w:rsidR="00F17BAA" w:rsidRPr="000A1CE3" w:rsidRDefault="00F17BAA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tLeast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Fotografías, 5 </w:t>
      </w:r>
      <w:proofErr w:type="gramStart"/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máximo</w:t>
      </w:r>
      <w:proofErr w:type="gramEnd"/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, una en la que se aprecie la totalidad de la fachada y parte de los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 xml:space="preserve">colindantes; las demás, hacia el entorno y elementos relevantes. </w:t>
      </w:r>
      <w:r w:rsidR="006D5706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E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 caso de que la solicitud sea por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 xml:space="preserve">restricción posterior deberá anexar 5 fotografías donde sean visibles los colindantes posteriores en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relación a la predio, capturadas a nivel de la azotea de la finca.</w:t>
      </w:r>
    </w:p>
    <w:p w:rsidR="00465AAD" w:rsidRPr="000A1CE3" w:rsidRDefault="00465AAD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del recibo de pago por los derechos correspondientes.</w:t>
      </w:r>
    </w:p>
    <w:p w:rsidR="00F17BAA" w:rsidRPr="000A1CE3" w:rsidRDefault="00F17BAA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En caso de que el predio esté bajo régimen condominal deberá anexar los planos firmados y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 xml:space="preserve">sellados por parte de la administración del condominio así como el visto bueno por escrito, por 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  <w:t>parte del condominio en los términos que marca el Código Civil.</w:t>
      </w:r>
    </w:p>
    <w:p w:rsidR="00A322AC" w:rsidRPr="000A1CE3" w:rsidRDefault="00A322AC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Carta poder en caso de que el promotor no sea el propietario.</w:t>
      </w:r>
    </w:p>
    <w:p w:rsidR="00082D25" w:rsidRPr="000A1CE3" w:rsidRDefault="00082D25" w:rsidP="000A1CE3">
      <w:pPr>
        <w:pStyle w:val="Prrafodelista"/>
        <w:numPr>
          <w:ilvl w:val="0"/>
          <w:numId w:val="2"/>
        </w:numPr>
        <w:tabs>
          <w:tab w:val="left" w:pos="426"/>
        </w:tabs>
        <w:spacing w:after="0" w:line="240" w:lineRule="auto"/>
        <w:ind w:left="142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Pr="000A1CE3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0A1CE3">
        <w:rPr>
          <w:rFonts w:ascii="Century Gothic" w:hAnsi="Century Gothic"/>
          <w:b/>
          <w:sz w:val="18"/>
          <w:szCs w:val="18"/>
        </w:rPr>
        <w:t>:</w:t>
      </w:r>
    </w:p>
    <w:p w:rsidR="00082D25" w:rsidRPr="000A1CE3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0A1CE3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0A1CE3">
        <w:rPr>
          <w:rFonts w:ascii="Century Gothic" w:hAnsi="Century Gothic"/>
          <w:b/>
          <w:sz w:val="18"/>
          <w:szCs w:val="18"/>
        </w:rPr>
        <w:t>:</w:t>
      </w:r>
    </w:p>
    <w:p w:rsidR="0013688A" w:rsidRPr="000A1CE3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AB18F8">
        <w:rPr>
          <w:rFonts w:ascii="Century Gothic" w:eastAsia="Times New Roman" w:hAnsi="Century Gothic" w:cs="Times New Roman"/>
          <w:sz w:val="18"/>
          <w:szCs w:val="18"/>
          <w:lang w:eastAsia="es-MX"/>
        </w:rPr>
        <w:t>620</w:t>
      </w: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7219AD"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</w:p>
    <w:p w:rsidR="006D5706" w:rsidRPr="000A1CE3" w:rsidRDefault="006D570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0A1CE3">
        <w:rPr>
          <w:rFonts w:ascii="Century Gothic" w:hAnsi="Century Gothic"/>
          <w:b/>
          <w:sz w:val="18"/>
          <w:szCs w:val="18"/>
        </w:rPr>
        <w:t>:</w:t>
      </w:r>
    </w:p>
    <w:p w:rsidR="0013688A" w:rsidRPr="000A1CE3" w:rsidRDefault="00F17BA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Dos</w:t>
      </w:r>
      <w:r w:rsidR="007253A5" w:rsidRPr="000A1CE3">
        <w:rPr>
          <w:rFonts w:ascii="Century Gothic" w:hAnsi="Century Gothic"/>
          <w:sz w:val="18"/>
          <w:szCs w:val="18"/>
        </w:rPr>
        <w:t xml:space="preserve"> semana</w:t>
      </w:r>
      <w:r w:rsidRPr="000A1CE3">
        <w:rPr>
          <w:rFonts w:ascii="Century Gothic" w:hAnsi="Century Gothic"/>
          <w:sz w:val="18"/>
          <w:szCs w:val="18"/>
        </w:rPr>
        <w:t>s</w:t>
      </w:r>
      <w:r w:rsidR="00A05E58" w:rsidRPr="000A1CE3">
        <w:rPr>
          <w:rFonts w:ascii="Century Gothic" w:hAnsi="Century Gothic"/>
          <w:sz w:val="18"/>
          <w:szCs w:val="18"/>
        </w:rPr>
        <w:t xml:space="preserve">. </w:t>
      </w:r>
      <w:r w:rsidR="00082D25" w:rsidRPr="000A1CE3">
        <w:rPr>
          <w:rFonts w:ascii="Century Gothic" w:hAnsi="Century Gothic"/>
          <w:sz w:val="18"/>
          <w:szCs w:val="18"/>
        </w:rPr>
        <w:t xml:space="preserve"> </w:t>
      </w:r>
    </w:p>
    <w:p w:rsidR="00F17BAA" w:rsidRPr="000A1CE3" w:rsidRDefault="00F17BA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0A1CE3">
        <w:rPr>
          <w:rFonts w:ascii="Century Gothic" w:hAnsi="Century Gothic"/>
          <w:b/>
          <w:sz w:val="18"/>
          <w:szCs w:val="18"/>
        </w:rPr>
        <w:t>.</w:t>
      </w:r>
    </w:p>
    <w:p w:rsidR="008D791C" w:rsidRPr="000A1CE3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lastRenderedPageBreak/>
        <w:t>No aplica</w:t>
      </w:r>
    </w:p>
    <w:p w:rsidR="007F0A1C" w:rsidRPr="000A1CE3" w:rsidRDefault="007F0A1C" w:rsidP="008D791C">
      <w:pPr>
        <w:spacing w:after="0" w:line="240" w:lineRule="auto"/>
        <w:jc w:val="both"/>
        <w:rPr>
          <w:b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0A1CE3">
        <w:rPr>
          <w:rFonts w:ascii="Century Gothic" w:hAnsi="Century Gothic"/>
          <w:b/>
          <w:sz w:val="18"/>
          <w:szCs w:val="18"/>
        </w:rPr>
        <w:t xml:space="preserve">: </w:t>
      </w:r>
    </w:p>
    <w:p w:rsidR="006D2EC6" w:rsidRPr="000A1CE3" w:rsidRDefault="00F17BAA" w:rsidP="00F17BA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eastAsia="Times New Roman" w:hAnsi="Century Gothic" w:cs="Times New Roman"/>
          <w:sz w:val="18"/>
          <w:szCs w:val="18"/>
          <w:lang w:eastAsia="es-MX"/>
        </w:rPr>
        <w:t>No aplica</w:t>
      </w:r>
    </w:p>
    <w:p w:rsidR="008D791C" w:rsidRPr="000A1CE3" w:rsidRDefault="008D791C" w:rsidP="008D791C">
      <w:pPr>
        <w:spacing w:after="0" w:line="240" w:lineRule="auto"/>
        <w:jc w:val="both"/>
      </w:pPr>
    </w:p>
    <w:p w:rsidR="002C1FFA" w:rsidRPr="000A1CE3" w:rsidRDefault="00297752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0A1CE3">
        <w:rPr>
          <w:b/>
        </w:rPr>
        <w:t>:</w:t>
      </w:r>
    </w:p>
    <w:p w:rsidR="006D2EC6" w:rsidRPr="000A1CE3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Dictamen.</w:t>
      </w:r>
    </w:p>
    <w:p w:rsidR="007F0A1C" w:rsidRPr="000A1CE3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0A1CE3">
        <w:rPr>
          <w:rFonts w:ascii="Century Gothic" w:hAnsi="Century Gothic"/>
          <w:b/>
          <w:sz w:val="18"/>
          <w:szCs w:val="18"/>
        </w:rPr>
        <w:t>.</w:t>
      </w:r>
    </w:p>
    <w:p w:rsidR="00085ACB" w:rsidRPr="000A1CE3" w:rsidRDefault="006D5706" w:rsidP="008D791C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I</w:t>
      </w:r>
      <w:r w:rsidR="00085ACB" w:rsidRPr="000A1CE3">
        <w:rPr>
          <w:rFonts w:ascii="Century Gothic" w:eastAsia="Calibri" w:hAnsi="Century Gothic" w:cs="Times New Roman"/>
          <w:sz w:val="18"/>
          <w:szCs w:val="18"/>
        </w:rPr>
        <w:t>ndefinida y validez</w:t>
      </w:r>
      <w:r w:rsidR="00F17BAA" w:rsidRPr="000A1CE3">
        <w:rPr>
          <w:rFonts w:ascii="Century Gothic" w:eastAsia="Calibri" w:hAnsi="Century Gothic" w:cs="Times New Roman"/>
          <w:sz w:val="18"/>
          <w:szCs w:val="18"/>
        </w:rPr>
        <w:t xml:space="preserve"> legal en tanto no se </w:t>
      </w:r>
      <w:r w:rsidRPr="000A1CE3">
        <w:rPr>
          <w:rFonts w:ascii="Century Gothic" w:eastAsia="Calibri" w:hAnsi="Century Gothic" w:cs="Times New Roman"/>
          <w:sz w:val="18"/>
          <w:szCs w:val="18"/>
        </w:rPr>
        <w:t>modifique o se realice cambio d</w:t>
      </w:r>
      <w:r w:rsidR="00F17BAA" w:rsidRPr="000A1CE3">
        <w:rPr>
          <w:rFonts w:ascii="Century Gothic" w:eastAsia="Calibri" w:hAnsi="Century Gothic" w:cs="Times New Roman"/>
          <w:sz w:val="18"/>
          <w:szCs w:val="18"/>
        </w:rPr>
        <w:t>el proyecto</w:t>
      </w:r>
      <w:r w:rsidRPr="000A1CE3">
        <w:rPr>
          <w:rFonts w:ascii="Century Gothic" w:eastAsia="Calibri" w:hAnsi="Century Gothic" w:cs="Times New Roman"/>
          <w:sz w:val="18"/>
          <w:szCs w:val="18"/>
        </w:rPr>
        <w:t>.</w:t>
      </w:r>
    </w:p>
    <w:p w:rsidR="006D5706" w:rsidRPr="000A1CE3" w:rsidRDefault="006D570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0A1CE3">
        <w:rPr>
          <w:rFonts w:ascii="Century Gothic" w:hAnsi="Century Gothic"/>
          <w:b/>
          <w:sz w:val="18"/>
          <w:szCs w:val="18"/>
        </w:rPr>
        <w:t>:</w:t>
      </w:r>
    </w:p>
    <w:p w:rsidR="00085ACB" w:rsidRPr="000A1CE3" w:rsidRDefault="006D570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Aplicación de las leyes, reglamentos e instrumentos de planeación y de ordenamiento del territorio.</w:t>
      </w:r>
    </w:p>
    <w:p w:rsidR="006D5706" w:rsidRPr="000A1CE3" w:rsidRDefault="006D570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0A1CE3">
        <w:rPr>
          <w:rFonts w:ascii="Century Gothic" w:hAnsi="Century Gothic"/>
          <w:b/>
          <w:sz w:val="18"/>
          <w:szCs w:val="18"/>
        </w:rPr>
        <w:t>:</w:t>
      </w:r>
    </w:p>
    <w:p w:rsidR="00294FE0" w:rsidRPr="000A1CE3" w:rsidRDefault="00FF499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 xml:space="preserve">I. </w:t>
      </w:r>
      <w:r w:rsidRPr="000A1CE3">
        <w:rPr>
          <w:rFonts w:ascii="Century Gothic" w:hAnsi="Century Gothic"/>
          <w:sz w:val="18"/>
          <w:szCs w:val="18"/>
        </w:rPr>
        <w:tab/>
      </w:r>
      <w:r w:rsidR="00294FE0" w:rsidRPr="000A1CE3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0A1CE3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ab/>
      </w:r>
      <w:r w:rsidR="00294FE0" w:rsidRPr="000A1CE3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0A1CE3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ab/>
      </w:r>
      <w:r w:rsidR="00294FE0" w:rsidRPr="000A1CE3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0A1CE3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ab/>
      </w:r>
      <w:r w:rsidR="00294FE0" w:rsidRPr="000A1CE3">
        <w:rPr>
          <w:rFonts w:ascii="Century Gothic" w:hAnsi="Century Gothic"/>
          <w:sz w:val="18"/>
          <w:szCs w:val="18"/>
        </w:rPr>
        <w:t xml:space="preserve">d. Titulo: </w:t>
      </w:r>
      <w:r w:rsidR="006A07E8" w:rsidRPr="000A1CE3">
        <w:rPr>
          <w:rFonts w:ascii="Century Gothic" w:hAnsi="Century Gothic"/>
          <w:sz w:val="18"/>
          <w:szCs w:val="18"/>
        </w:rPr>
        <w:t>Sexto</w:t>
      </w:r>
    </w:p>
    <w:p w:rsidR="00294FE0" w:rsidRPr="000A1CE3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ab/>
      </w:r>
      <w:r w:rsidR="00294FE0" w:rsidRPr="000A1CE3">
        <w:rPr>
          <w:rFonts w:ascii="Century Gothic" w:hAnsi="Century Gothic"/>
          <w:sz w:val="18"/>
          <w:szCs w:val="18"/>
        </w:rPr>
        <w:t>e. Capitul</w:t>
      </w:r>
      <w:r w:rsidR="006A07E8" w:rsidRPr="000A1CE3">
        <w:rPr>
          <w:rFonts w:ascii="Century Gothic" w:hAnsi="Century Gothic"/>
          <w:sz w:val="18"/>
          <w:szCs w:val="18"/>
        </w:rPr>
        <w:t>o: II</w:t>
      </w:r>
    </w:p>
    <w:p w:rsidR="00294FE0" w:rsidRPr="000A1CE3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ab/>
      </w:r>
      <w:r w:rsidR="00294FE0" w:rsidRPr="000A1CE3">
        <w:rPr>
          <w:rFonts w:ascii="Century Gothic" w:hAnsi="Century Gothic"/>
          <w:sz w:val="18"/>
          <w:szCs w:val="18"/>
        </w:rPr>
        <w:t xml:space="preserve">f. Sección: </w:t>
      </w:r>
      <w:r w:rsidR="006A07E8" w:rsidRPr="000A1CE3">
        <w:rPr>
          <w:rFonts w:ascii="Century Gothic" w:hAnsi="Century Gothic"/>
          <w:sz w:val="18"/>
          <w:szCs w:val="18"/>
        </w:rPr>
        <w:t>no aplica</w:t>
      </w:r>
    </w:p>
    <w:p w:rsidR="00294FE0" w:rsidRPr="000A1CE3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ab/>
      </w:r>
    </w:p>
    <w:p w:rsidR="007C079E" w:rsidRPr="000A1CE3" w:rsidRDefault="00FF4999" w:rsidP="006A07E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II.</w:t>
      </w:r>
      <w:r w:rsidRPr="000A1CE3">
        <w:rPr>
          <w:rFonts w:ascii="Century Gothic" w:hAnsi="Century Gothic"/>
          <w:sz w:val="18"/>
          <w:szCs w:val="18"/>
        </w:rPr>
        <w:tab/>
      </w:r>
      <w:r w:rsidR="007C079E" w:rsidRPr="000A1CE3">
        <w:rPr>
          <w:rFonts w:ascii="Century Gothic" w:hAnsi="Century Gothic"/>
          <w:sz w:val="18"/>
          <w:szCs w:val="18"/>
        </w:rPr>
        <w:t xml:space="preserve">a. Ámbito de Ordenamiento: Ordenamiento </w:t>
      </w:r>
      <w:r w:rsidR="006A07E8" w:rsidRPr="000A1CE3">
        <w:rPr>
          <w:rFonts w:ascii="Century Gothic" w:hAnsi="Century Gothic"/>
          <w:sz w:val="18"/>
          <w:szCs w:val="18"/>
        </w:rPr>
        <w:t>Estatal</w:t>
      </w:r>
      <w:r w:rsidR="007C079E" w:rsidRPr="000A1CE3">
        <w:rPr>
          <w:rFonts w:ascii="Century Gothic" w:hAnsi="Century Gothic"/>
          <w:sz w:val="18"/>
          <w:szCs w:val="18"/>
        </w:rPr>
        <w:t>.</w:t>
      </w:r>
    </w:p>
    <w:p w:rsidR="007C079E" w:rsidRPr="000A1CE3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b. Tipo de Ordenamiento: Reglamento.</w:t>
      </w:r>
    </w:p>
    <w:p w:rsidR="007C079E" w:rsidRPr="000A1CE3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c. Nombre del Ordenamiento: Reglamento Estatal de Zonificación.</w:t>
      </w:r>
    </w:p>
    <w:p w:rsidR="007C079E" w:rsidRPr="000A1CE3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d. Titulo: Primero.</w:t>
      </w:r>
    </w:p>
    <w:p w:rsidR="007C079E" w:rsidRPr="000A1CE3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e. Capitulo: III</w:t>
      </w:r>
    </w:p>
    <w:p w:rsidR="007C079E" w:rsidRPr="000A1CE3" w:rsidRDefault="007C079E" w:rsidP="007F0A1C">
      <w:pPr>
        <w:tabs>
          <w:tab w:val="left" w:pos="709"/>
        </w:tabs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f. Sección: no aplica</w:t>
      </w:r>
    </w:p>
    <w:p w:rsidR="007C079E" w:rsidRPr="000A1CE3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A1CE3" w:rsidRDefault="00297752" w:rsidP="000A1CE3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0A1CE3">
        <w:rPr>
          <w:rFonts w:ascii="Century Gothic" w:hAnsi="Century Gothic"/>
          <w:b/>
          <w:sz w:val="18"/>
          <w:szCs w:val="18"/>
        </w:rPr>
        <w:t>.</w:t>
      </w:r>
    </w:p>
    <w:p w:rsidR="006D5706" w:rsidRPr="000A1CE3" w:rsidRDefault="006D5706" w:rsidP="000A1CE3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0A1CE3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0A1CE3">
        <w:rPr>
          <w:b/>
        </w:rPr>
        <w:t>.</w:t>
      </w:r>
    </w:p>
    <w:p w:rsidR="006D5706" w:rsidRPr="000A1CE3" w:rsidRDefault="006D5706" w:rsidP="000A1CE3">
      <w:pPr>
        <w:tabs>
          <w:tab w:val="left" w:pos="0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6D5706" w:rsidRPr="000A1CE3" w:rsidRDefault="006D5706" w:rsidP="000A1CE3">
      <w:pPr>
        <w:tabs>
          <w:tab w:val="left" w:pos="0"/>
        </w:tabs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0A1CE3">
        <w:rPr>
          <w:rFonts w:ascii="Century Gothic" w:hAnsi="Century Gothic"/>
          <w:sz w:val="18"/>
          <w:szCs w:val="18"/>
        </w:rPr>
        <w:t>Calle Juárez, número 28, del Barrio de Santa María, San Pedro Tlaquepaque.</w:t>
      </w:r>
    </w:p>
    <w:p w:rsidR="006D5706" w:rsidRPr="000A1CE3" w:rsidRDefault="006D5706" w:rsidP="008D791C">
      <w:pPr>
        <w:spacing w:after="0" w:line="240" w:lineRule="auto"/>
        <w:jc w:val="both"/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0A1CE3">
        <w:rPr>
          <w:rFonts w:ascii="Century Gothic" w:hAnsi="Century Gothic"/>
          <w:sz w:val="18"/>
          <w:szCs w:val="18"/>
        </w:rPr>
        <w:t>.</w:t>
      </w:r>
    </w:p>
    <w:p w:rsidR="0077115A" w:rsidRPr="000A1CE3" w:rsidRDefault="0077115A" w:rsidP="000A1CE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No Aplica.</w:t>
      </w:r>
    </w:p>
    <w:p w:rsidR="0024677B" w:rsidRPr="000A1CE3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4677B" w:rsidRPr="000A1CE3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0A1CE3" w:rsidRDefault="00297752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0A1CE3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0A1CE3">
        <w:rPr>
          <w:rFonts w:ascii="Century Gothic" w:hAnsi="Century Gothic"/>
          <w:b/>
          <w:sz w:val="18"/>
          <w:szCs w:val="18"/>
        </w:rPr>
        <w:t>.</w:t>
      </w:r>
    </w:p>
    <w:p w:rsidR="006D5706" w:rsidRPr="000A1CE3" w:rsidRDefault="00FF4999" w:rsidP="000A1CE3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1CE3">
        <w:rPr>
          <w:rFonts w:ascii="Century Gothic" w:hAnsi="Century Gothic"/>
          <w:sz w:val="18"/>
          <w:szCs w:val="18"/>
        </w:rPr>
        <w:t>Recurso de</w:t>
      </w:r>
      <w:r w:rsidR="000A1CE3">
        <w:rPr>
          <w:rFonts w:ascii="Century Gothic" w:hAnsi="Century Gothic"/>
          <w:sz w:val="18"/>
          <w:szCs w:val="18"/>
        </w:rPr>
        <w:t xml:space="preserve"> </w:t>
      </w:r>
      <w:r w:rsidRPr="000A1CE3">
        <w:rPr>
          <w:rFonts w:ascii="Century Gothic" w:hAnsi="Century Gothic"/>
          <w:sz w:val="18"/>
          <w:szCs w:val="18"/>
        </w:rPr>
        <w:t>R</w:t>
      </w:r>
      <w:r w:rsidR="006D5706" w:rsidRPr="000A1CE3">
        <w:rPr>
          <w:rFonts w:ascii="Century Gothic" w:hAnsi="Century Gothic"/>
          <w:sz w:val="18"/>
          <w:szCs w:val="18"/>
        </w:rPr>
        <w:t>evisión, Ley del Procedimiento Administrativo del Estado de Jalisco.</w:t>
      </w:r>
    </w:p>
    <w:p w:rsidR="002C1FFA" w:rsidRPr="0013688A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13688A" w:rsidSect="00522D49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F3C3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6922"/>
    <w:multiLevelType w:val="hybridMultilevel"/>
    <w:tmpl w:val="7A6AB4C6"/>
    <w:lvl w:ilvl="0" w:tplc="BB1CA0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3B2D65"/>
    <w:multiLevelType w:val="hybridMultilevel"/>
    <w:tmpl w:val="4EF2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E4C97"/>
    <w:multiLevelType w:val="hybridMultilevel"/>
    <w:tmpl w:val="E7EC07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82D25"/>
    <w:rsid w:val="00085ACB"/>
    <w:rsid w:val="00092372"/>
    <w:rsid w:val="000A1CE3"/>
    <w:rsid w:val="00110195"/>
    <w:rsid w:val="0013688A"/>
    <w:rsid w:val="00157DEE"/>
    <w:rsid w:val="00174F7F"/>
    <w:rsid w:val="001B257C"/>
    <w:rsid w:val="00204BDF"/>
    <w:rsid w:val="00241D2A"/>
    <w:rsid w:val="0024677B"/>
    <w:rsid w:val="00294FE0"/>
    <w:rsid w:val="00297752"/>
    <w:rsid w:val="002C1FFA"/>
    <w:rsid w:val="0030757C"/>
    <w:rsid w:val="003700E8"/>
    <w:rsid w:val="00391C11"/>
    <w:rsid w:val="00446B63"/>
    <w:rsid w:val="0046359B"/>
    <w:rsid w:val="00465AAD"/>
    <w:rsid w:val="004668BF"/>
    <w:rsid w:val="004E3492"/>
    <w:rsid w:val="00522D49"/>
    <w:rsid w:val="005D1796"/>
    <w:rsid w:val="005D1E32"/>
    <w:rsid w:val="005E3173"/>
    <w:rsid w:val="00633D0F"/>
    <w:rsid w:val="00641371"/>
    <w:rsid w:val="006A07E8"/>
    <w:rsid w:val="006D2EC6"/>
    <w:rsid w:val="006D3E8E"/>
    <w:rsid w:val="006D5706"/>
    <w:rsid w:val="007219AD"/>
    <w:rsid w:val="007253A5"/>
    <w:rsid w:val="0077115A"/>
    <w:rsid w:val="007C079E"/>
    <w:rsid w:val="007C6E8A"/>
    <w:rsid w:val="007F0A1C"/>
    <w:rsid w:val="008334AD"/>
    <w:rsid w:val="00833E68"/>
    <w:rsid w:val="008714FD"/>
    <w:rsid w:val="008C74A0"/>
    <w:rsid w:val="008D791C"/>
    <w:rsid w:val="00965BAD"/>
    <w:rsid w:val="009B1361"/>
    <w:rsid w:val="009C7DED"/>
    <w:rsid w:val="00A002C0"/>
    <w:rsid w:val="00A05E58"/>
    <w:rsid w:val="00A26741"/>
    <w:rsid w:val="00A3034D"/>
    <w:rsid w:val="00A322AC"/>
    <w:rsid w:val="00AB18F8"/>
    <w:rsid w:val="00AD3671"/>
    <w:rsid w:val="00B439D0"/>
    <w:rsid w:val="00B91DB9"/>
    <w:rsid w:val="00BA2F9F"/>
    <w:rsid w:val="00BC7CE7"/>
    <w:rsid w:val="00C338AA"/>
    <w:rsid w:val="00C42F9D"/>
    <w:rsid w:val="00CA383A"/>
    <w:rsid w:val="00CB65D5"/>
    <w:rsid w:val="00D4208D"/>
    <w:rsid w:val="00DB4BD9"/>
    <w:rsid w:val="00DC2FB8"/>
    <w:rsid w:val="00E33554"/>
    <w:rsid w:val="00E71BF5"/>
    <w:rsid w:val="00EF2C50"/>
    <w:rsid w:val="00F17BAA"/>
    <w:rsid w:val="00F644A6"/>
    <w:rsid w:val="00F7332F"/>
    <w:rsid w:val="00FF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98B3E-32CF-42EF-9CEE-31B1020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7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F17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semiHidden/>
    <w:rsid w:val="00F17BAA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semiHidden/>
    <w:rsid w:val="00F17BAA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15</cp:revision>
  <cp:lastPrinted>2017-09-05T19:12:00Z</cp:lastPrinted>
  <dcterms:created xsi:type="dcterms:W3CDTF">2017-09-06T14:17:00Z</dcterms:created>
  <dcterms:modified xsi:type="dcterms:W3CDTF">2021-09-06T17:35:00Z</dcterms:modified>
</cp:coreProperties>
</file>