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Informe de Desempeño Municipal </w:t>
      </w:r>
    </w:p>
    <w:p>
      <w:pPr>
        <w:jc w:val="center"/>
        <w:rPr>
          <w:rFonts w:ascii="Times New Roman" w:hAnsi="Times New Roman" w:cs="Times New Roman"/>
          <w:b/>
          <w:sz w:val="28"/>
        </w:rPr>
      </w:pPr>
      <w:r>
        <w:rPr>
          <w:rFonts w:ascii="Times New Roman" w:hAnsi="Times New Roman" w:cs="Times New Roman"/>
          <w:b/>
          <w:sz w:val="28"/>
        </w:rPr>
        <w:t>Cierre Anual 2021</w:t>
      </w:r>
    </w:p>
    <w:p>
      <w:pPr>
        <w:rPr>
          <w:rFonts w:ascii="Times New Roman" w:hAnsi="Times New Roman" w:cs="Times New Roman"/>
          <w:b/>
          <w:sz w:val="24"/>
        </w:rPr>
      </w:pPr>
      <w:r>
        <w:rPr>
          <w:rFonts w:ascii="Times New Roman" w:hAnsi="Times New Roman" w:cs="Times New Roman"/>
          <w:b/>
          <w:sz w:val="24"/>
        </w:rPr>
        <w:t xml:space="preserve">1.- Indicador cuantitativo a reportar: </w:t>
      </w:r>
    </w:p>
    <w:p>
      <w:pPr>
        <w:rPr>
          <w:rFonts w:ascii="Times New Roman" w:hAnsi="Times New Roman" w:cs="Times New Roman"/>
          <w:b/>
        </w:rPr>
      </w:pPr>
      <w:r>
        <w:rPr>
          <w:rFonts w:ascii="Times New Roman" w:hAnsi="Times New Roman" w:cs="Times New Roman"/>
          <w:b/>
        </w:rPr>
        <w:t>Semestral  Enero a Diciembre del 2021</w:t>
      </w:r>
    </w:p>
    <w:tbl>
      <w:tblPr>
        <w:tblStyle w:val="Tablaconcuadrcula"/>
        <w:tblW w:w="9067" w:type="dxa"/>
        <w:tblLayout w:type="fixed"/>
        <w:tblLook w:val="04A0" w:firstRow="1" w:lastRow="0" w:firstColumn="1" w:lastColumn="0" w:noHBand="0" w:noVBand="1"/>
      </w:tblPr>
      <w:tblGrid>
        <w:gridCol w:w="1574"/>
        <w:gridCol w:w="1231"/>
        <w:gridCol w:w="1420"/>
        <w:gridCol w:w="1206"/>
        <w:gridCol w:w="1085"/>
        <w:gridCol w:w="992"/>
        <w:gridCol w:w="1559"/>
      </w:tblGrid>
      <w:tr>
        <w:tc>
          <w:tcPr>
            <w:tcW w:w="1574" w:type="dxa"/>
          </w:tcPr>
          <w:p>
            <w:pPr>
              <w:rPr>
                <w:rFonts w:ascii="Times New Roman" w:hAnsi="Times New Roman" w:cs="Times New Roman"/>
                <w:b/>
              </w:rPr>
            </w:pPr>
            <w:r>
              <w:rPr>
                <w:rFonts w:ascii="Times New Roman" w:hAnsi="Times New Roman" w:cs="Times New Roman"/>
                <w:b/>
                <w:bCs/>
              </w:rPr>
              <w:t>Denominación Programa</w:t>
            </w:r>
          </w:p>
        </w:tc>
        <w:tc>
          <w:tcPr>
            <w:tcW w:w="1231" w:type="dxa"/>
          </w:tcPr>
          <w:p>
            <w:pPr>
              <w:rPr>
                <w:rFonts w:ascii="Times New Roman" w:hAnsi="Times New Roman" w:cs="Times New Roman"/>
                <w:b/>
              </w:rPr>
            </w:pPr>
            <w:r>
              <w:rPr>
                <w:rFonts w:ascii="Times New Roman" w:hAnsi="Times New Roman" w:cs="Times New Roman"/>
                <w:b/>
                <w:bCs/>
              </w:rPr>
              <w:t>Nombre del indicador</w:t>
            </w:r>
          </w:p>
        </w:tc>
        <w:tc>
          <w:tcPr>
            <w:tcW w:w="1420" w:type="dxa"/>
          </w:tcPr>
          <w:p>
            <w:pPr>
              <w:rPr>
                <w:rFonts w:ascii="Times New Roman" w:hAnsi="Times New Roman" w:cs="Times New Roman"/>
                <w:b/>
              </w:rPr>
            </w:pPr>
            <w:r>
              <w:rPr>
                <w:rFonts w:ascii="Times New Roman" w:hAnsi="Times New Roman" w:cs="Times New Roman"/>
                <w:b/>
                <w:bCs/>
              </w:rPr>
              <w:t>Valor Programado</w:t>
            </w:r>
          </w:p>
        </w:tc>
        <w:tc>
          <w:tcPr>
            <w:tcW w:w="1206" w:type="dxa"/>
          </w:tcPr>
          <w:p>
            <w:pPr>
              <w:rPr>
                <w:rFonts w:ascii="Times New Roman" w:hAnsi="Times New Roman" w:cs="Times New Roman"/>
                <w:b/>
              </w:rPr>
            </w:pPr>
            <w:r>
              <w:rPr>
                <w:rFonts w:ascii="Times New Roman" w:hAnsi="Times New Roman" w:cs="Times New Roman"/>
                <w:b/>
                <w:bCs/>
              </w:rPr>
              <w:t>Avance semestral</w:t>
            </w:r>
          </w:p>
        </w:tc>
        <w:tc>
          <w:tcPr>
            <w:tcW w:w="1085" w:type="dxa"/>
          </w:tcPr>
          <w:p>
            <w:pPr>
              <w:rPr>
                <w:rFonts w:ascii="Times New Roman" w:hAnsi="Times New Roman" w:cs="Times New Roman"/>
                <w:b/>
                <w:bCs/>
              </w:rPr>
            </w:pPr>
            <w:r>
              <w:rPr>
                <w:rFonts w:ascii="Times New Roman" w:hAnsi="Times New Roman" w:cs="Times New Roman"/>
                <w:b/>
                <w:bCs/>
              </w:rPr>
              <w:t>Cierre</w:t>
            </w:r>
          </w:p>
          <w:p>
            <w:pPr>
              <w:rPr>
                <w:rFonts w:ascii="Times New Roman" w:hAnsi="Times New Roman" w:cs="Times New Roman"/>
                <w:b/>
                <w:bCs/>
              </w:rPr>
            </w:pPr>
            <w:r>
              <w:rPr>
                <w:rFonts w:ascii="Times New Roman" w:hAnsi="Times New Roman" w:cs="Times New Roman"/>
                <w:b/>
                <w:bCs/>
              </w:rPr>
              <w:t>Anual</w:t>
            </w:r>
          </w:p>
        </w:tc>
        <w:tc>
          <w:tcPr>
            <w:tcW w:w="992" w:type="dxa"/>
          </w:tcPr>
          <w:p>
            <w:pPr>
              <w:rPr>
                <w:rFonts w:ascii="Times New Roman" w:hAnsi="Times New Roman" w:cs="Times New Roman"/>
                <w:b/>
              </w:rPr>
            </w:pPr>
            <w:r>
              <w:rPr>
                <w:rFonts w:ascii="Times New Roman" w:hAnsi="Times New Roman" w:cs="Times New Roman"/>
                <w:b/>
                <w:bCs/>
              </w:rPr>
              <w:t>Unidad de Medida</w:t>
            </w:r>
          </w:p>
        </w:tc>
        <w:tc>
          <w:tcPr>
            <w:tcW w:w="1559" w:type="dxa"/>
            <w:vAlign w:val="center"/>
          </w:tcPr>
          <w:p>
            <w:pPr>
              <w:jc w:val="center"/>
              <w:rPr>
                <w:rFonts w:ascii="Times New Roman" w:hAnsi="Times New Roman" w:cs="Times New Roman"/>
                <w:b/>
                <w:bCs/>
              </w:rPr>
            </w:pPr>
            <w:r>
              <w:rPr>
                <w:rFonts w:ascii="Times New Roman" w:hAnsi="Times New Roman" w:cs="Times New Roman"/>
                <w:b/>
                <w:bCs/>
              </w:rPr>
              <w:t>Dependencia/</w:t>
            </w:r>
          </w:p>
          <w:p>
            <w:pPr>
              <w:jc w:val="center"/>
              <w:rPr>
                <w:rFonts w:ascii="Times New Roman" w:hAnsi="Times New Roman" w:cs="Times New Roman"/>
                <w:b/>
                <w:bCs/>
              </w:rPr>
            </w:pPr>
            <w:r>
              <w:rPr>
                <w:rFonts w:ascii="Times New Roman" w:hAnsi="Times New Roman" w:cs="Times New Roman"/>
                <w:b/>
                <w:bCs/>
              </w:rPr>
              <w:t>Área</w:t>
            </w:r>
          </w:p>
        </w:tc>
      </w:tr>
      <w:tr>
        <w:tc>
          <w:tcPr>
            <w:tcW w:w="1574" w:type="dxa"/>
          </w:tcPr>
          <w:p>
            <w:pPr>
              <w:jc w:val="both"/>
              <w:rPr>
                <w:rFonts w:ascii="Times New Roman" w:hAnsi="Times New Roman" w:cs="Times New Roman"/>
                <w:b/>
              </w:rPr>
            </w:pPr>
            <w:r>
              <w:rPr>
                <w:rFonts w:ascii="Calibri" w:hAnsi="Calibri" w:cs="Calibri"/>
                <w:color w:val="000000"/>
                <w:sz w:val="20"/>
                <w:szCs w:val="20"/>
              </w:rPr>
              <w:t>7.02.03.10 Programa de asesoramiento legal y jurídico para la población que presenta vulnerabilidad legal e indefensión de su patrimonio.</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tc>
        <w:tc>
          <w:tcPr>
            <w:tcW w:w="1231" w:type="dxa"/>
          </w:tcPr>
          <w:p>
            <w:pPr>
              <w:jc w:val="both"/>
              <w:rPr>
                <w:rFonts w:cstheme="minorHAnsi"/>
                <w:sz w:val="20"/>
                <w:szCs w:val="20"/>
              </w:rPr>
            </w:pPr>
            <w:r>
              <w:rPr>
                <w:rFonts w:cstheme="minorHAnsi"/>
                <w:sz w:val="20"/>
                <w:szCs w:val="20"/>
              </w:rPr>
              <w:t>Porcentaje de avance en la prestación del servicio de asesoría consultiva legal gratuita a ciudadanos</w:t>
            </w:r>
          </w:p>
        </w:tc>
        <w:tc>
          <w:tcPr>
            <w:tcW w:w="1420" w:type="dxa"/>
          </w:tcPr>
          <w:p>
            <w:pPr>
              <w:jc w:val="center"/>
              <w:rPr>
                <w:rFonts w:cstheme="minorHAnsi"/>
              </w:rPr>
            </w:pPr>
            <w:r>
              <w:rPr>
                <w:rFonts w:cstheme="minorHAnsi"/>
              </w:rPr>
              <w:t>80</w:t>
            </w:r>
          </w:p>
        </w:tc>
        <w:tc>
          <w:tcPr>
            <w:tcW w:w="1206" w:type="dxa"/>
          </w:tcPr>
          <w:p>
            <w:pPr>
              <w:jc w:val="center"/>
              <w:rPr>
                <w:rFonts w:cstheme="minorHAnsi"/>
                <w:b/>
              </w:rPr>
            </w:pPr>
            <w:r>
              <w:rPr>
                <w:rFonts w:cstheme="minorHAnsi"/>
                <w:b/>
              </w:rPr>
              <w:t>20</w:t>
            </w:r>
          </w:p>
        </w:tc>
        <w:tc>
          <w:tcPr>
            <w:tcW w:w="1085" w:type="dxa"/>
          </w:tcPr>
          <w:p>
            <w:pPr>
              <w:spacing w:line="360" w:lineRule="auto"/>
              <w:jc w:val="center"/>
              <w:rPr>
                <w:rFonts w:cstheme="minorHAnsi"/>
                <w:b/>
              </w:rPr>
            </w:pPr>
            <w:r>
              <w:rPr>
                <w:rFonts w:cstheme="minorHAnsi"/>
                <w:b/>
              </w:rPr>
              <w:t>36</w:t>
            </w:r>
          </w:p>
        </w:tc>
        <w:tc>
          <w:tcPr>
            <w:tcW w:w="992" w:type="dxa"/>
          </w:tcPr>
          <w:p>
            <w:pPr>
              <w:spacing w:line="360" w:lineRule="auto"/>
              <w:jc w:val="center"/>
              <w:rPr>
                <w:rFonts w:cstheme="minorHAnsi"/>
                <w:b/>
              </w:rPr>
            </w:pPr>
            <w:r>
              <w:rPr>
                <w:rFonts w:cstheme="minorHAnsi"/>
                <w:b/>
              </w:rPr>
              <w:t>22.22%</w:t>
            </w:r>
          </w:p>
        </w:tc>
        <w:tc>
          <w:tcPr>
            <w:tcW w:w="1559" w:type="dxa"/>
          </w:tcPr>
          <w:p>
            <w:pPr>
              <w:rPr>
                <w:rFonts w:cstheme="minorHAnsi"/>
                <w:sz w:val="20"/>
                <w:szCs w:val="20"/>
              </w:rPr>
            </w:pPr>
            <w:r>
              <w:rPr>
                <w:rFonts w:cstheme="minorHAnsi"/>
                <w:sz w:val="20"/>
                <w:szCs w:val="20"/>
              </w:rPr>
              <w:t>Dirección General Jurídica</w:t>
            </w:r>
          </w:p>
        </w:tc>
      </w:tr>
    </w:tbl>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Brindamos  asesorías requeridas por ciudadanos, existiendo base de datos electrónica, considerada como CONFIDENCIAL, presentándose en la Dirección General Jurídica, ubicada en la calle Independencia número 58 planta baja de la Presidencia Municipal, en el semestre del año 2021,  atendimos un total de 36 asesorías , en razón del aislamiento por la pandemia </w:t>
      </w:r>
      <w:proofErr w:type="spellStart"/>
      <w:r>
        <w:rPr>
          <w:rFonts w:ascii="Times New Roman" w:hAnsi="Times New Roman" w:cs="Times New Roman"/>
        </w:rPr>
        <w:t>covi</w:t>
      </w:r>
      <w:proofErr w:type="spellEnd"/>
      <w:r>
        <w:rPr>
          <w:rFonts w:ascii="Times New Roman" w:hAnsi="Times New Roman" w:cs="Times New Roman"/>
        </w:rPr>
        <w:t xml:space="preserve"> 19, disminuyo ese servicio gratuito, en algunos de los casos se revisaron documentos que presentaron los ciudadanos, así  como en la base de datos SISE,  realizando el análisis y diagnóstico legal,  canalizándose  a las dependencias gubernamentales y no gubernamentales que corresponda el caso, para su seguimiento y tramite,  los cuales son: </w:t>
      </w:r>
    </w:p>
    <w:p>
      <w:pPr>
        <w:jc w:val="both"/>
        <w:rPr>
          <w:rFonts w:ascii="Times New Roman" w:hAnsi="Times New Roman" w:cs="Times New Roman"/>
        </w:rPr>
      </w:pPr>
      <w:r>
        <w:rPr>
          <w:rFonts w:ascii="Times New Roman" w:hAnsi="Times New Roman" w:cs="Times New Roman"/>
        </w:rPr>
        <w:t>Dirección de Centro de Mediación Municipal</w:t>
      </w:r>
    </w:p>
    <w:p>
      <w:pPr>
        <w:jc w:val="both"/>
        <w:rPr>
          <w:rFonts w:ascii="Times New Roman" w:hAnsi="Times New Roman" w:cs="Times New Roman"/>
        </w:rPr>
      </w:pPr>
      <w:r>
        <w:rPr>
          <w:rFonts w:ascii="Times New Roman" w:hAnsi="Times New Roman" w:cs="Times New Roman"/>
        </w:rPr>
        <w:t>Procuraduría Social del Estado de Jalisco</w:t>
      </w:r>
    </w:p>
    <w:p>
      <w:pPr>
        <w:jc w:val="both"/>
        <w:rPr>
          <w:rFonts w:ascii="Times New Roman" w:hAnsi="Times New Roman" w:cs="Times New Roman"/>
        </w:rPr>
      </w:pPr>
      <w:r>
        <w:rPr>
          <w:rFonts w:ascii="Times New Roman" w:hAnsi="Times New Roman" w:cs="Times New Roman"/>
        </w:rPr>
        <w:t>Procuraduría de la Defensa del Trabajo del Estado de Jalisco</w:t>
      </w:r>
    </w:p>
    <w:p>
      <w:pPr>
        <w:jc w:val="both"/>
        <w:rPr>
          <w:rFonts w:ascii="Times New Roman" w:hAnsi="Times New Roman" w:cs="Times New Roman"/>
        </w:rPr>
      </w:pPr>
      <w:r>
        <w:rPr>
          <w:rFonts w:ascii="Times New Roman" w:hAnsi="Times New Roman" w:cs="Times New Roman"/>
        </w:rPr>
        <w:t>Fiscalía Central del Estado de Jalisco</w:t>
      </w:r>
    </w:p>
    <w:p>
      <w:pPr>
        <w:jc w:val="both"/>
        <w:rPr>
          <w:rFonts w:ascii="Times New Roman" w:hAnsi="Times New Roman" w:cs="Times New Roman"/>
        </w:rPr>
      </w:pPr>
      <w:r>
        <w:rPr>
          <w:rFonts w:ascii="Times New Roman" w:hAnsi="Times New Roman" w:cs="Times New Roman"/>
        </w:rPr>
        <w:t>Bufet  de Servicio Social de la U. de G.</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Por lo antes mencionado manifiesto que se modificó el valor programado de Asesoramiento para el año 2022, quedando con un total de 50 asesorias</w:t>
      </w:r>
    </w:p>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4B3D3-3AB3-4FCE-9C28-473BA33F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Gonzalez Romero</dc:creator>
  <cp:keywords/>
  <dc:description/>
  <cp:lastModifiedBy>Cesar Ignacio Bocanegra Alvarado</cp:lastModifiedBy>
  <cp:revision>2</cp:revision>
  <dcterms:created xsi:type="dcterms:W3CDTF">2022-02-08T16:37:00Z</dcterms:created>
  <dcterms:modified xsi:type="dcterms:W3CDTF">2022-02-08T16:37:00Z</dcterms:modified>
</cp:coreProperties>
</file>