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ind w:left="5664" w:firstLine="708"/>
        <w:rPr>
          <w:rFonts w:ascii="Arial" w:hAnsi="Arial" w:cs="Arial"/>
          <w:b/>
          <w:bCs/>
          <w:sz w:val="20"/>
          <w:szCs w:val="20"/>
        </w:rPr>
      </w:pPr>
      <w:r>
        <w:rPr>
          <w:rFonts w:ascii="Arial" w:hAnsi="Arial" w:cs="Arial"/>
          <w:b/>
          <w:bCs/>
          <w:sz w:val="20"/>
          <w:szCs w:val="20"/>
        </w:rPr>
        <w:t xml:space="preserve">                                                                                         </w:t>
      </w:r>
    </w:p>
    <w:p>
      <w:pPr>
        <w:spacing w:after="0" w:line="240" w:lineRule="auto"/>
        <w:ind w:left="4956" w:firstLine="708"/>
        <w:jc w:val="right"/>
        <w:rPr>
          <w:rFonts w:ascii="Arial" w:hAnsi="Arial" w:cs="Arial"/>
          <w:sz w:val="20"/>
          <w:szCs w:val="20"/>
        </w:rPr>
      </w:pPr>
      <w:r>
        <w:rPr>
          <w:rFonts w:ascii="Arial" w:hAnsi="Arial" w:cs="Arial"/>
          <w:b/>
          <w:bCs/>
          <w:sz w:val="20"/>
          <w:szCs w:val="20"/>
        </w:rPr>
        <w:t xml:space="preserve">    ASUNTO: INFORME MENSUAL</w:t>
      </w:r>
      <w:r>
        <w:rPr>
          <w:rFonts w:ascii="Arial" w:hAnsi="Arial" w:cs="Arial"/>
          <w:bCs/>
          <w:sz w:val="20"/>
          <w:szCs w:val="20"/>
        </w:rPr>
        <w:t xml:space="preserve"> </w:t>
      </w:r>
    </w:p>
    <w:p>
      <w:pPr>
        <w:spacing w:line="240" w:lineRule="auto"/>
        <w:ind w:left="1416"/>
        <w:rPr>
          <w:rFonts w:ascii="Arial" w:hAnsi="Arial" w:cs="Arial"/>
          <w:b/>
          <w:sz w:val="20"/>
          <w:szCs w:val="20"/>
        </w:rPr>
      </w:pPr>
      <w:r>
        <w:rPr>
          <w:rFonts w:ascii="Arial" w:hAnsi="Arial" w:cs="Arial"/>
          <w:b/>
          <w:sz w:val="20"/>
          <w:szCs w:val="20"/>
        </w:rPr>
        <w:t xml:space="preserve">              SAN PEDRO TLAQUEPAQUE, JALISCO; A 17 DE DICIEMBRE DE 2021</w:t>
      </w:r>
    </w:p>
    <w:p>
      <w:pPr>
        <w:spacing w:after="0" w:line="240" w:lineRule="auto"/>
        <w:rPr>
          <w:rFonts w:ascii="Arial" w:hAnsi="Arial" w:cs="Arial"/>
          <w:b/>
        </w:rPr>
      </w:pPr>
    </w:p>
    <w:p>
      <w:pPr>
        <w:spacing w:after="0" w:line="240" w:lineRule="auto"/>
        <w:rPr>
          <w:rFonts w:ascii="Arial" w:hAnsi="Arial" w:cs="Arial"/>
          <w:b/>
        </w:rPr>
      </w:pPr>
      <w:r>
        <w:rPr>
          <w:rFonts w:ascii="Arial" w:hAnsi="Arial" w:cs="Arial"/>
          <w:b/>
        </w:rPr>
        <w:t xml:space="preserve">LIC. </w:t>
      </w:r>
      <w:r>
        <w:rPr>
          <w:rFonts w:ascii="Arial" w:hAnsi="Arial" w:cs="Arial"/>
          <w:b/>
          <w:color w:val="000000"/>
          <w:shd w:val="clear" w:color="auto" w:fill="FFFFFF"/>
        </w:rPr>
        <w:t>CESAR IGNACIO BOCANEGRA ALVARADO</w:t>
      </w:r>
      <w:r>
        <w:rPr>
          <w:rFonts w:ascii="Arial" w:hAnsi="Arial" w:cs="Arial"/>
          <w:b/>
        </w:rPr>
        <w:t xml:space="preserve"> </w:t>
      </w:r>
    </w:p>
    <w:p>
      <w:pPr>
        <w:spacing w:after="0" w:line="240" w:lineRule="auto"/>
        <w:rPr>
          <w:rFonts w:ascii="Arial" w:hAnsi="Arial" w:cs="Arial"/>
          <w:b/>
        </w:rPr>
      </w:pPr>
      <w:r>
        <w:rPr>
          <w:rFonts w:ascii="Arial" w:hAnsi="Arial" w:cs="Arial"/>
          <w:b/>
        </w:rPr>
        <w:t xml:space="preserve">DIRECTOR DE LA UNIDAD DE TRANSPARENCIA  </w:t>
      </w:r>
    </w:p>
    <w:p>
      <w:pPr>
        <w:spacing w:after="0" w:line="240" w:lineRule="auto"/>
        <w:rPr>
          <w:rFonts w:ascii="Arial" w:hAnsi="Arial" w:cs="Arial"/>
          <w:b/>
        </w:rPr>
      </w:pPr>
      <w:r>
        <w:rPr>
          <w:rFonts w:ascii="Arial" w:hAnsi="Arial" w:cs="Arial"/>
          <w:b/>
        </w:rPr>
        <w:t xml:space="preserve">DEL H. AYUNTAMIENTO DE SAN PEDRO TLAQUEPAQUE </w:t>
      </w:r>
    </w:p>
    <w:p>
      <w:pPr>
        <w:spacing w:after="0" w:line="240" w:lineRule="auto"/>
        <w:rPr>
          <w:rFonts w:ascii="Arial" w:hAnsi="Arial" w:cs="Arial"/>
          <w:b/>
          <w:bCs/>
        </w:rPr>
      </w:pPr>
      <w:r>
        <w:rPr>
          <w:rFonts w:ascii="Arial" w:hAnsi="Arial" w:cs="Arial"/>
          <w:b/>
          <w:bCs/>
        </w:rPr>
        <w:t>P R E S E N T E.</w:t>
      </w:r>
    </w:p>
    <w:p>
      <w:pPr>
        <w:spacing w:after="0" w:line="240" w:lineRule="auto"/>
        <w:ind w:firstLine="708"/>
        <w:jc w:val="both"/>
        <w:rPr>
          <w:rFonts w:ascii="Arial" w:hAnsi="Arial" w:cs="Arial"/>
          <w:color w:val="000000"/>
        </w:rPr>
      </w:pPr>
    </w:p>
    <w:p>
      <w:pPr>
        <w:spacing w:after="0" w:line="240" w:lineRule="auto"/>
        <w:ind w:firstLine="708"/>
        <w:jc w:val="both"/>
        <w:rPr>
          <w:rFonts w:ascii="Arial" w:hAnsi="Arial" w:cs="Arial"/>
          <w:color w:val="000000"/>
        </w:rPr>
      </w:pPr>
    </w:p>
    <w:p>
      <w:pPr>
        <w:spacing w:after="0" w:line="240" w:lineRule="auto"/>
        <w:jc w:val="both"/>
        <w:rPr>
          <w:rFonts w:ascii="Arial" w:hAnsi="Arial" w:cs="Arial"/>
          <w:color w:val="000000"/>
        </w:rPr>
      </w:pPr>
      <w:r>
        <w:rPr>
          <w:rFonts w:ascii="Arial" w:hAnsi="Arial" w:cs="Arial"/>
          <w:color w:val="000000"/>
        </w:rPr>
        <w:t xml:space="preserve">Por medio del presente le envío un cordial saludo, ocasión que aprovecho para efecto de proporcionar la información generada y las actualizaciones correspondientes al mes de </w:t>
      </w:r>
      <w:r>
        <w:rPr>
          <w:rFonts w:ascii="Arial" w:hAnsi="Arial" w:cs="Arial"/>
          <w:b/>
          <w:color w:val="000000"/>
        </w:rPr>
        <w:t>DICIEMBRE</w:t>
      </w:r>
      <w:r>
        <w:rPr>
          <w:rFonts w:ascii="Arial" w:hAnsi="Arial" w:cs="Arial"/>
          <w:color w:val="000000"/>
        </w:rPr>
        <w:t xml:space="preserve"> que haya sufrido la información pública fundamental conforme a lo establecido en la Ley de Transparencia y Accesos a la Información Pública del estado de Jalisco y sus municipios, tengo a bien realizar en tiempo y forma de la siguiente manera:</w:t>
      </w:r>
    </w:p>
    <w:p>
      <w:pPr>
        <w:spacing w:after="0" w:line="240" w:lineRule="auto"/>
        <w:ind w:firstLine="708"/>
        <w:jc w:val="both"/>
        <w:rPr>
          <w:rFonts w:ascii="Arial" w:hAnsi="Arial" w:cs="Arial"/>
          <w:color w:val="000000"/>
        </w:rPr>
      </w:pPr>
      <w:r>
        <w:rPr>
          <w:rFonts w:ascii="Arial" w:hAnsi="Arial" w:cs="Arial"/>
          <w:color w:val="000000"/>
        </w:rPr>
        <w:t xml:space="preserve"> </w:t>
      </w:r>
    </w:p>
    <w:p>
      <w:pPr>
        <w:spacing w:after="0" w:line="240" w:lineRule="auto"/>
        <w:ind w:firstLine="708"/>
        <w:jc w:val="center"/>
        <w:rPr>
          <w:rFonts w:ascii="Arial" w:hAnsi="Arial" w:cs="Arial"/>
          <w:b/>
          <w:color w:val="000000"/>
        </w:rPr>
      </w:pPr>
      <w:r>
        <w:rPr>
          <w:rFonts w:ascii="Arial" w:hAnsi="Arial" w:cs="Arial"/>
          <w:b/>
          <w:color w:val="000000"/>
        </w:rPr>
        <w:t>INFORME:</w:t>
      </w:r>
    </w:p>
    <w:p>
      <w:pPr>
        <w:spacing w:after="0" w:line="240" w:lineRule="auto"/>
        <w:ind w:firstLine="708"/>
        <w:jc w:val="both"/>
        <w:rPr>
          <w:rFonts w:ascii="Arial" w:hAnsi="Arial" w:cs="Arial"/>
          <w:color w:val="000000"/>
        </w:rPr>
      </w:pPr>
    </w:p>
    <w:p>
      <w:pPr>
        <w:spacing w:after="0" w:line="240" w:lineRule="auto"/>
        <w:ind w:firstLine="708"/>
        <w:jc w:val="both"/>
        <w:rPr>
          <w:rFonts w:ascii="Arial" w:hAnsi="Arial" w:cs="Arial"/>
          <w:color w:val="000000"/>
        </w:rPr>
      </w:pPr>
      <w:r>
        <w:rPr>
          <w:rFonts w:ascii="Arial" w:hAnsi="Arial" w:cs="Arial"/>
          <w:color w:val="000000"/>
        </w:rPr>
        <w:t>Artículo 8 fracción VI inciso L): Respecto a ésta información: Se realiza las siguientes actividades o servicios del Centro Público de Mediación respecto al mes de DICIEMBRE:</w:t>
      </w:r>
    </w:p>
    <w:p>
      <w:pPr>
        <w:spacing w:after="0" w:line="240" w:lineRule="auto"/>
        <w:ind w:firstLine="708"/>
        <w:jc w:val="both"/>
        <w:rPr>
          <w:rFonts w:ascii="Arial" w:hAnsi="Arial" w:cs="Arial"/>
          <w:color w:val="000000"/>
        </w:rPr>
      </w:pPr>
    </w:p>
    <w:p>
      <w:pPr>
        <w:spacing w:line="240" w:lineRule="auto"/>
        <w:jc w:val="both"/>
        <w:rPr>
          <w:rFonts w:ascii="Arial" w:hAnsi="Arial" w:cs="Arial"/>
        </w:rPr>
      </w:pPr>
      <w:r>
        <w:rPr>
          <w:rFonts w:ascii="Arial" w:hAnsi="Arial" w:cs="Arial"/>
        </w:rPr>
        <w:t xml:space="preserve">**ATENCIÓN Y DESAHOGO DE LOS PROCESOS DE MEDIACIÓN EN LOS CUALES SE LOGREN CONVENIOS FINALES DE SOLUCION DE CONFLICTOS ENTRE PARTICULARES.- En éste mes se han abierto 33 nuevos expedientes para el desahogo de los Métodos Alternos de Solución de Conflictos, destacando que se han logrado concluir en 20 convenios finales que han resuelto conflictos entre ciudadanos de nuestro municipio.- </w:t>
      </w:r>
    </w:p>
    <w:p>
      <w:pPr>
        <w:spacing w:after="0" w:line="240" w:lineRule="auto"/>
        <w:jc w:val="both"/>
        <w:rPr>
          <w:rFonts w:ascii="Arial" w:hAnsi="Arial" w:cs="Arial"/>
        </w:rPr>
      </w:pPr>
      <w:r>
        <w:rPr>
          <w:rFonts w:ascii="Arial" w:hAnsi="Arial" w:cs="Arial"/>
        </w:rPr>
        <w:t>**ORIENTACIÓN Y ASESORÍA JURÍDICA A PERSONAS QUE SE PRESENTAN AL CENTRO PÚBLICO DE MEDIACIÓN.- Al igual, se han otorgado más de 48 asesorías jurídicas a ciudadanos que se han acercado a nuestra dependencia solicitando el apoyo correspondiente.-</w:t>
      </w:r>
    </w:p>
    <w:p>
      <w:pPr>
        <w:spacing w:after="0" w:line="240" w:lineRule="auto"/>
        <w:jc w:val="both"/>
        <w:rPr>
          <w:rFonts w:ascii="Arial" w:hAnsi="Arial" w:cs="Arial"/>
        </w:rPr>
      </w:pPr>
    </w:p>
    <w:p>
      <w:pPr>
        <w:spacing w:after="0" w:line="240" w:lineRule="auto"/>
        <w:jc w:val="both"/>
        <w:rPr>
          <w:rFonts w:ascii="Arial" w:hAnsi="Arial" w:cs="Arial"/>
        </w:rPr>
      </w:pPr>
    </w:p>
    <w:p>
      <w:pPr>
        <w:spacing w:after="0" w:line="240" w:lineRule="auto"/>
        <w:ind w:firstLine="708"/>
        <w:jc w:val="both"/>
        <w:rPr>
          <w:rFonts w:ascii="Arial" w:hAnsi="Arial" w:cs="Arial"/>
          <w:color w:val="000000"/>
        </w:rPr>
      </w:pPr>
      <w:r>
        <w:rPr>
          <w:rFonts w:ascii="Arial" w:hAnsi="Arial" w:cs="Arial"/>
          <w:color w:val="000000"/>
        </w:rPr>
        <w:t>Sin más por el momento quedo a su disposición para cualquier aclaración o ampliación al respecto.</w:t>
      </w:r>
    </w:p>
    <w:p>
      <w:pPr>
        <w:spacing w:after="0" w:line="240" w:lineRule="auto"/>
        <w:ind w:firstLine="708"/>
        <w:jc w:val="center"/>
        <w:rPr>
          <w:rFonts w:ascii="Arial" w:hAnsi="Arial" w:cs="Arial"/>
          <w:b/>
        </w:rPr>
      </w:pPr>
    </w:p>
    <w:p>
      <w:pPr>
        <w:spacing w:after="0" w:line="240" w:lineRule="auto"/>
        <w:ind w:firstLine="708"/>
        <w:jc w:val="center"/>
        <w:rPr>
          <w:rFonts w:ascii="Arial" w:hAnsi="Arial" w:cs="Arial"/>
          <w:b/>
        </w:rPr>
      </w:pPr>
    </w:p>
    <w:p>
      <w:pPr>
        <w:shd w:val="clear" w:color="auto" w:fill="FFFFFF"/>
        <w:spacing w:after="0"/>
        <w:jc w:val="center"/>
        <w:rPr>
          <w:rFonts w:ascii="Arial" w:hAnsi="Arial" w:cs="Arial"/>
          <w:b/>
          <w:sz w:val="20"/>
          <w:szCs w:val="20"/>
        </w:rPr>
      </w:pPr>
      <w:r>
        <w:rPr>
          <w:rFonts w:ascii="Arial" w:hAnsi="Arial" w:cs="Arial"/>
          <w:b/>
          <w:bCs/>
          <w:color w:val="000000"/>
          <w:sz w:val="20"/>
          <w:szCs w:val="20"/>
        </w:rPr>
        <w:t>ATENTAMENTE</w:t>
      </w:r>
      <w:r>
        <w:rPr>
          <w:rFonts w:ascii="Arial" w:hAnsi="Arial" w:cs="Arial"/>
          <w:color w:val="000000"/>
          <w:sz w:val="20"/>
          <w:szCs w:val="20"/>
        </w:rPr>
        <w:br/>
      </w:r>
      <w:r>
        <w:rPr>
          <w:rFonts w:ascii="Arial" w:hAnsi="Arial" w:cs="Arial"/>
          <w:b/>
          <w:sz w:val="20"/>
          <w:szCs w:val="20"/>
        </w:rPr>
        <w:t xml:space="preserve">                DIRECTOR DEL </w:t>
      </w:r>
      <w:bookmarkStart w:id="0" w:name="_GoBack"/>
      <w:r>
        <w:rPr>
          <w:rFonts w:ascii="Arial" w:hAnsi="Arial" w:cs="Arial"/>
          <w:b/>
          <w:sz w:val="20"/>
          <w:szCs w:val="20"/>
        </w:rPr>
        <w:t>CENTRO PÚBLICO DE MEDIACIÓN</w:t>
      </w:r>
      <w:bookmarkEnd w:id="0"/>
    </w:p>
    <w:p>
      <w:pPr>
        <w:spacing w:after="0" w:line="240" w:lineRule="auto"/>
        <w:jc w:val="center"/>
        <w:rPr>
          <w:rFonts w:ascii="Arial" w:hAnsi="Arial" w:cs="Arial"/>
          <w:b/>
          <w:sz w:val="24"/>
          <w:szCs w:val="24"/>
        </w:rPr>
      </w:pPr>
      <w:r>
        <w:rPr>
          <w:rFonts w:ascii="Arial" w:hAnsi="Arial" w:cs="Arial"/>
          <w:b/>
          <w:sz w:val="24"/>
          <w:szCs w:val="24"/>
        </w:rPr>
        <w:t xml:space="preserve"> </w:t>
      </w:r>
    </w:p>
    <w:p>
      <w:pPr>
        <w:spacing w:after="0" w:line="240" w:lineRule="auto"/>
        <w:jc w:val="center"/>
        <w:rPr>
          <w:rFonts w:ascii="Arial" w:hAnsi="Arial" w:cs="Arial"/>
          <w:b/>
          <w:sz w:val="24"/>
          <w:szCs w:val="24"/>
        </w:rPr>
      </w:pPr>
      <w:r>
        <w:rPr>
          <w:rFonts w:ascii="Arial" w:hAnsi="Arial" w:cs="Arial"/>
          <w:b/>
          <w:sz w:val="24"/>
          <w:szCs w:val="24"/>
        </w:rPr>
        <w:t xml:space="preserve">           </w:t>
      </w:r>
    </w:p>
    <w:p>
      <w:pPr>
        <w:jc w:val="center"/>
      </w:pPr>
      <w:r>
        <w:rPr>
          <w:rFonts w:ascii="Arial" w:hAnsi="Arial" w:cs="Arial"/>
          <w:b/>
          <w:sz w:val="24"/>
          <w:szCs w:val="24"/>
        </w:rPr>
        <w:t>LIC. FELIPE TORRES GUERRA</w:t>
      </w:r>
    </w:p>
    <w:p/>
    <w:sectPr>
      <w:headerReference w:type="default" r:id="rId7"/>
      <w:footerReference w:type="default" r:id="rId8"/>
      <w:pgSz w:w="12242" w:h="20163" w:code="5"/>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69" w:type="dxa"/>
      <w:tblInd w:w="108" w:type="dxa"/>
      <w:tblLook w:val="04A0" w:firstRow="1" w:lastRow="0" w:firstColumn="1" w:lastColumn="0" w:noHBand="0" w:noVBand="1"/>
    </w:tblPr>
    <w:tblGrid>
      <w:gridCol w:w="5478"/>
      <w:gridCol w:w="3491"/>
    </w:tblGrid>
    <w:tr>
      <w:tc>
        <w:tcPr>
          <w:tcW w:w="5501" w:type="dxa"/>
        </w:tcPr>
        <w:p>
          <w:pPr>
            <w:pStyle w:val="Piedepgina"/>
            <w:tabs>
              <w:tab w:val="left" w:pos="2742"/>
            </w:tabs>
            <w:ind w:left="-5387"/>
            <w:jc w:val="right"/>
            <w:rPr>
              <w:rFonts w:ascii="Arial" w:eastAsia="MS Mincho" w:hAnsi="Arial" w:cs="Arial"/>
              <w:color w:val="808080"/>
              <w:sz w:val="20"/>
              <w:szCs w:val="20"/>
              <w:lang w:val="es-ES_tradnl" w:eastAsia="es-ES"/>
            </w:rPr>
          </w:pPr>
          <w:r>
            <w:rPr>
              <w:rFonts w:ascii="Arial" w:eastAsia="MS Mincho" w:hAnsi="Arial" w:cs="Arial"/>
              <w:color w:val="808080"/>
              <w:sz w:val="20"/>
              <w:szCs w:val="20"/>
              <w:lang w:val="es-ES_tradnl" w:eastAsia="es-ES"/>
            </w:rPr>
            <w:t xml:space="preserve">Calle Independencia Nº 10, Planta baja </w:t>
          </w:r>
        </w:p>
        <w:p>
          <w:pPr>
            <w:pStyle w:val="Piedepgina"/>
            <w:tabs>
              <w:tab w:val="left" w:pos="2742"/>
            </w:tabs>
            <w:ind w:left="-5387"/>
            <w:jc w:val="right"/>
            <w:rPr>
              <w:rFonts w:ascii="Arial" w:eastAsia="MS Mincho" w:hAnsi="Arial" w:cs="Arial"/>
              <w:color w:val="808080"/>
              <w:sz w:val="20"/>
              <w:szCs w:val="20"/>
              <w:lang w:val="es-ES_tradnl" w:eastAsia="es-ES"/>
            </w:rPr>
          </w:pPr>
          <w:r>
            <w:rPr>
              <w:rFonts w:ascii="Arial" w:eastAsia="MS Mincho" w:hAnsi="Arial" w:cs="Arial"/>
              <w:color w:val="808080"/>
              <w:sz w:val="20"/>
              <w:szCs w:val="20"/>
              <w:lang w:val="es-ES_tradnl" w:eastAsia="es-ES"/>
            </w:rPr>
            <w:t>Colonia Centro, San Pedro Tlaquepaque, Jalisco.</w:t>
          </w:r>
        </w:p>
        <w:p>
          <w:pPr>
            <w:pStyle w:val="Piedepgina"/>
            <w:tabs>
              <w:tab w:val="left" w:pos="2742"/>
            </w:tabs>
            <w:ind w:left="-5387"/>
            <w:jc w:val="right"/>
            <w:rPr>
              <w:rFonts w:ascii="Arial" w:eastAsia="MS Mincho" w:hAnsi="Arial" w:cs="Arial"/>
              <w:color w:val="808080"/>
              <w:sz w:val="20"/>
              <w:szCs w:val="20"/>
              <w:lang w:val="es-ES_tradnl" w:eastAsia="es-ES"/>
            </w:rPr>
          </w:pPr>
          <w:r>
            <w:rPr>
              <w:rFonts w:ascii="Arial" w:eastAsia="MS Mincho" w:hAnsi="Arial" w:cs="Arial"/>
              <w:color w:val="808080"/>
              <w:sz w:val="20"/>
              <w:szCs w:val="20"/>
              <w:lang w:val="es-ES_tradnl" w:eastAsia="es-ES"/>
            </w:rPr>
            <w:t>Teléfono: 38386710</w:t>
          </w:r>
        </w:p>
      </w:tc>
      <w:tc>
        <w:tcPr>
          <w:tcW w:w="3468" w:type="dxa"/>
        </w:tcPr>
        <w:p>
          <w:pPr>
            <w:pStyle w:val="Piedepgina"/>
            <w:rPr>
              <w:rFonts w:ascii="Arial" w:eastAsia="MS Mincho" w:hAnsi="Arial" w:cs="Arial"/>
              <w:color w:val="808080"/>
              <w:sz w:val="20"/>
              <w:szCs w:val="20"/>
              <w:lang w:val="es-ES_tradnl" w:eastAsia="es-ES"/>
            </w:rPr>
          </w:pPr>
          <w:r>
            <w:rPr>
              <w:rFonts w:ascii="Arial" w:eastAsia="MS Mincho" w:hAnsi="Arial" w:cs="Arial"/>
              <w:noProof/>
              <w:color w:val="808080"/>
              <w:sz w:val="20"/>
              <w:szCs w:val="20"/>
              <w:lang w:eastAsia="es-MX"/>
            </w:rPr>
            <w:drawing>
              <wp:inline distT="0" distB="0" distL="0" distR="0">
                <wp:extent cx="2060575" cy="323215"/>
                <wp:effectExtent l="19050" t="0" r="0" b="0"/>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2060575" cy="323215"/>
                        </a:xfrm>
                        <a:prstGeom prst="rect">
                          <a:avLst/>
                        </a:prstGeom>
                        <a:noFill/>
                        <a:ln w="9525">
                          <a:noFill/>
                          <a:miter lim="800000"/>
                          <a:headEnd/>
                          <a:tailEnd/>
                        </a:ln>
                      </pic:spPr>
                    </pic:pic>
                  </a:graphicData>
                </a:graphic>
              </wp:inline>
            </w:drawing>
          </w:r>
        </w:p>
      </w:tc>
    </w:tr>
  </w:tbl>
  <w:p>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668"/>
      <w:gridCol w:w="7172"/>
    </w:tblGrid>
    <w:tr>
      <w:trPr>
        <w:trHeight w:val="1843"/>
      </w:trPr>
      <w:tc>
        <w:tcPr>
          <w:tcW w:w="1668" w:type="dxa"/>
          <w:vAlign w:val="center"/>
        </w:tcPr>
        <w:p>
          <w:pPr>
            <w:pStyle w:val="Encabezado"/>
            <w:jc w:val="center"/>
            <w:rPr>
              <w:rFonts w:eastAsia="MS Mincho"/>
              <w:sz w:val="24"/>
              <w:szCs w:val="24"/>
              <w:lang w:val="es-ES_tradnl" w:eastAsia="es-ES"/>
            </w:rPr>
          </w:pPr>
          <w:r>
            <w:rPr>
              <w:rFonts w:eastAsia="MS Mincho"/>
              <w:noProof/>
              <w:sz w:val="24"/>
              <w:szCs w:val="24"/>
              <w:lang w:eastAsia="es-MX"/>
            </w:rPr>
            <w:drawing>
              <wp:inline distT="0" distB="0" distL="0" distR="0">
                <wp:extent cx="890270" cy="1139825"/>
                <wp:effectExtent l="19050" t="0" r="5080" b="0"/>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srcRect/>
                        <a:stretch>
                          <a:fillRect/>
                        </a:stretch>
                      </pic:blipFill>
                      <pic:spPr bwMode="auto">
                        <a:xfrm>
                          <a:off x="0" y="0"/>
                          <a:ext cx="890270" cy="1139825"/>
                        </a:xfrm>
                        <a:prstGeom prst="rect">
                          <a:avLst/>
                        </a:prstGeom>
                        <a:noFill/>
                        <a:ln w="9525">
                          <a:noFill/>
                          <a:miter lim="800000"/>
                          <a:headEnd/>
                          <a:tailEnd/>
                        </a:ln>
                      </pic:spPr>
                    </pic:pic>
                  </a:graphicData>
                </a:graphic>
              </wp:inline>
            </w:drawing>
          </w:r>
        </w:p>
      </w:tc>
      <w:tc>
        <w:tcPr>
          <w:tcW w:w="7293" w:type="dxa"/>
          <w:vAlign w:val="center"/>
        </w:tcPr>
        <w:p>
          <w:pPr>
            <w:pStyle w:val="Encabezado"/>
            <w:jc w:val="center"/>
            <w:rPr>
              <w:rFonts w:eastAsia="MS Mincho"/>
              <w:sz w:val="24"/>
              <w:szCs w:val="24"/>
              <w:lang w:val="es-ES_tradnl" w:eastAsia="es-ES"/>
            </w:rPr>
          </w:pPr>
          <w:r>
            <w:rPr>
              <w:rFonts w:ascii="Arial" w:eastAsia="MS Mincho" w:hAnsi="Arial" w:cs="Arial"/>
              <w:color w:val="808080"/>
              <w:sz w:val="28"/>
              <w:szCs w:val="28"/>
              <w:lang w:val="es-ES_tradnl" w:eastAsia="es-ES"/>
            </w:rPr>
            <w:t>Centro Público de Mediación Municipal de San Pedro, Tlaquepaque, Jalisco.</w:t>
          </w:r>
        </w:p>
      </w:tc>
    </w:tr>
  </w:tbl>
  <w:p>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90391"/>
    <w:multiLevelType w:val="hybridMultilevel"/>
    <w:tmpl w:val="DFB4BA72"/>
    <w:lvl w:ilvl="0" w:tplc="6464E0CE">
      <w:start w:val="3"/>
      <w:numFmt w:val="bullet"/>
      <w:lvlText w:val=""/>
      <w:lvlJc w:val="left"/>
      <w:pPr>
        <w:ind w:left="1065" w:hanging="360"/>
      </w:pPr>
      <w:rPr>
        <w:rFonts w:ascii="Wingdings" w:eastAsia="Calibri" w:hAnsi="Wingdings" w:cs="Aria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A002E-03FE-4E13-B308-A4C234163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Pr>
      <w:rFonts w:ascii="Calibri" w:eastAsia="Calibri" w:hAnsi="Calibri" w:cs="Times New Roman"/>
    </w:rPr>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Pr>
      <w:rFonts w:ascii="Calibri" w:eastAsia="Calibri" w:hAnsi="Calibri" w:cs="Times New Roman"/>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42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1523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Cesar Ignacio Bocanegra Alvarado</cp:lastModifiedBy>
  <cp:revision>2</cp:revision>
  <dcterms:created xsi:type="dcterms:W3CDTF">2021-12-20T16:27:00Z</dcterms:created>
  <dcterms:modified xsi:type="dcterms:W3CDTF">2021-12-20T16:27:00Z</dcterms:modified>
</cp:coreProperties>
</file>