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1D" w:rsidRPr="002F171D" w:rsidRDefault="002F171D" w:rsidP="002F1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bookmarkStart w:id="0" w:name="_GoBack"/>
      <w:bookmarkEnd w:id="0"/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332</w:t>
      </w:r>
    </w:p>
    <w:p w:rsidR="002F171D" w:rsidRPr="002F171D" w:rsidRDefault="002F171D" w:rsidP="002F1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2016-04-13 15:14:31</w:t>
      </w:r>
    </w:p>
    <w:p w:rsidR="002F171D" w:rsidRPr="002F171D" w:rsidRDefault="002F171D" w:rsidP="002F17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2F171D" w:rsidRPr="002F171D" w:rsidRDefault="002F171D" w:rsidP="002F17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Contestación oficio UT 1639/2016</w:t>
      </w:r>
    </w:p>
    <w:p w:rsidR="002F171D" w:rsidRPr="002F171D" w:rsidRDefault="002F171D" w:rsidP="002F17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2F171D" w:rsidRPr="002F171D" w:rsidRDefault="002F171D" w:rsidP="002F17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2F171D" w:rsidRPr="002F171D" w:rsidRDefault="002F171D" w:rsidP="002F17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Maestro Otoniel Varas Valdez González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Director de la Unidad de Transparencia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 r e s e n t e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           Por medio de la presente le remito un cordial saludo, y en contestación a su oficio UT 1639/2016, mediante el cual solicita la siguiente información: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“Año 2015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1.      Se requiere el padrón de beneficiarios (anual), reglas de operación de los siguientes programas, costo de operación (en caso de no ser señalado en las reglas) y Metodología de evaluación para el cumplimiento de los objetivos. (Matriz de indicadores para Resultados MIR):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Listos a la escuela, Mochilas con útiles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NUTRIR (rutas para la salud alimentaria)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Listos a la escuela uniformes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Equipamiento escolar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Año 2014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2.      Se requiere el padrón de beneficiarios (anual), reglas de operación de los siguientes programas, costo de operación (en caso de no ser señalado en las reglas) y metodología de evaluación para el cumplimiento  de los objetivos (Matriz de indicadores para Resultados MIR):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Programa Apoyo con útiles y uniformes escolares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NUTRIR (Rutas para la salud alimentaria).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Año 2013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3.      Se requiere el padrón de beneficiarios (anual), reglas de operación de los siguientes programas, costo de operación (en caso de no ser señalado en las Reglas), y Metodología de evaluación para el cumplimiento de los objetivos (Matriz de Indicadores para Resultados MIR):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Programa de Apoyo a Personas con Capacidades Diferentes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lastRenderedPageBreak/>
        <w:t>·         Programa Apoyo con útiles y uniformes escolares.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ind w:left="1068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·         NUTRIR (Rutas por la salud alimentaria). “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 lo que de conformidad con el artículo 84 fracción I de la Ley de Transparencia del Estado de Jalisco y sus Municipios, le informo a usted que al haber realizado una búsqueda exhaustiva en el acta de entrega recepción de la administración 2012-2015, dicha información no existe, debido a que no se entregó información respecto a dichos programas.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2F171D" w:rsidRPr="002F171D" w:rsidRDefault="002F171D" w:rsidP="002F171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más por agregar, quedo a sus órdenes para cualquier duda o aclaración</w:t>
      </w:r>
    </w:p>
    <w:p w:rsidR="002F171D" w:rsidRPr="002F171D" w:rsidRDefault="002F171D" w:rsidP="002F171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2F171D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2F171D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MARGARITA RIOS CERVANTES</w:t>
      </w:r>
      <w:r w:rsidRPr="002F171D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GENERAL</w:t>
      </w:r>
      <w:r w:rsidRPr="002F171D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2F171D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COORDINACION GENERAL DE LA CONSTRUCCION DE LA COMUNIDAD</w:t>
      </w:r>
    </w:p>
    <w:p w:rsidR="002F171D" w:rsidRPr="002F171D" w:rsidRDefault="002F171D" w:rsidP="002F171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2F171D">
        <w:rPr>
          <w:rFonts w:ascii="Arial" w:eastAsia="Times New Roman" w:hAnsi="Arial" w:cs="Arial"/>
          <w:noProof/>
          <w:color w:val="000000"/>
          <w:sz w:val="21"/>
          <w:szCs w:val="21"/>
          <w:lang w:val="es-419" w:eastAsia="es-419"/>
        </w:rPr>
        <w:drawing>
          <wp:inline distT="0" distB="0" distL="0" distR="0" wp14:anchorId="58F2184B" wp14:editId="0E5770C8">
            <wp:extent cx="1562100" cy="1562100"/>
            <wp:effectExtent l="0" t="0" r="0" b="0"/>
            <wp:docPr id="2" name="Imagen 2" descr="https://servicios.tlaquepaque.gob.mx/oficios/qrcode/temp/20160413_151431_13_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vicios.tlaquepaque.gob.mx/oficios/qrcode/temp/20160413_151431_13_3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C4" w:rsidRDefault="005E57C4"/>
    <w:sectPr w:rsidR="005E5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D"/>
    <w:rsid w:val="002F171D"/>
    <w:rsid w:val="005E57C4"/>
    <w:rsid w:val="00D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A1154"/>
  <w15:chartTrackingRefBased/>
  <w15:docId w15:val="{1C87EB4B-F0AF-483C-83EF-4C5200E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511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061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Rendón Becerra</dc:creator>
  <cp:keywords/>
  <dc:description/>
  <cp:lastModifiedBy>pc</cp:lastModifiedBy>
  <cp:revision>2</cp:revision>
  <dcterms:created xsi:type="dcterms:W3CDTF">2016-05-04T20:54:00Z</dcterms:created>
  <dcterms:modified xsi:type="dcterms:W3CDTF">2016-05-04T20:54:00Z</dcterms:modified>
</cp:coreProperties>
</file>